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25CCB" w14:textId="223927AF" w:rsidR="00C95D68" w:rsidRPr="002F5EF6" w:rsidRDefault="00307992" w:rsidP="00C95D68">
      <w:pPr>
        <w:ind w:left="-360" w:right="-1368"/>
        <w:jc w:val="both"/>
        <w:rPr>
          <w:b/>
          <w:sz w:val="28"/>
          <w:szCs w:val="28"/>
          <w:u w:val="single"/>
        </w:rPr>
      </w:pPr>
      <w:r>
        <w:rPr>
          <w:noProof/>
          <w:lang w:val="en-US" w:eastAsia="en-US"/>
        </w:rPr>
        <w:drawing>
          <wp:anchor distT="52459" distB="306556" distL="175260" distR="176149" simplePos="0" relativeHeight="251657728" behindDoc="0" locked="0" layoutInCell="1" allowOverlap="1" wp14:anchorId="0552E279" wp14:editId="57C6E996">
            <wp:simplePos x="0" y="0"/>
            <wp:positionH relativeFrom="column">
              <wp:posOffset>-9525</wp:posOffset>
            </wp:positionH>
            <wp:positionV relativeFrom="paragraph">
              <wp:posOffset>107069</wp:posOffset>
            </wp:positionV>
            <wp:extent cx="754761" cy="696990"/>
            <wp:effectExtent l="76200" t="95250" r="83820" b="313055"/>
            <wp:wrapSquare wrapText="bothSides"/>
            <wp:docPr id="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9659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B33">
        <w:rPr>
          <w:rFonts w:ascii="Calibri" w:hAnsi="Calibri" w:cs="Calibri"/>
          <w:noProof/>
          <w:lang w:val="en-US" w:eastAsia="en-US"/>
        </w:rPr>
        <mc:AlternateContent>
          <mc:Choice Requires="wps">
            <w:drawing>
              <wp:inline distT="0" distB="0" distL="0" distR="0" wp14:anchorId="04FC1116" wp14:editId="577E4565">
                <wp:extent cx="4552950" cy="304800"/>
                <wp:effectExtent l="19050" t="9525" r="19050" b="9525"/>
                <wp:docPr id="8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52950" cy="3048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03AFFC0" w14:textId="77777777" w:rsidR="00546B33" w:rsidRDefault="00546B33" w:rsidP="00546B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33CC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33CC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AD MARINA BAR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FC1116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58.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" filled="f" stroked="f">
                <o:lock v:ext="edit" shapetype="t"/>
                <v:textbox style="mso-fit-shape-to-text:t">
                  <w:txbxContent>
                    <w:p w14:paraId="403AFFC0" w14:textId="77777777" w:rsidR="00546B33" w:rsidRDefault="00546B33" w:rsidP="00546B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33CC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33CC">
                                <w14:alpha w14:val="50000"/>
                              </w14:srgbClr>
                            </w14:solidFill>
                          </w14:textFill>
                        </w:rPr>
                        <w:t>AD MARINA BAR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95D68" w:rsidRPr="002F5EF6">
        <w:rPr>
          <w:b/>
          <w:sz w:val="28"/>
          <w:szCs w:val="28"/>
          <w:u w:val="single"/>
        </w:rPr>
        <w:t xml:space="preserve"> </w:t>
      </w:r>
    </w:p>
    <w:p w14:paraId="20371042" w14:textId="77777777" w:rsidR="00C95D68" w:rsidRPr="002F5EF6" w:rsidRDefault="00C95D68" w:rsidP="00C95D68">
      <w:pPr>
        <w:rPr>
          <w:rFonts w:ascii="Calibri" w:hAnsi="Calibri" w:cs="Calibri"/>
          <w:b/>
          <w:sz w:val="28"/>
          <w:szCs w:val="28"/>
          <w:u w:val="single"/>
        </w:rPr>
      </w:pPr>
      <w:proofErr w:type="spellStart"/>
      <w:r w:rsidRPr="002F5EF6">
        <w:rPr>
          <w:rFonts w:ascii="Calibri" w:hAnsi="Calibri" w:cs="Calibri"/>
          <w:b/>
          <w:sz w:val="28"/>
          <w:szCs w:val="28"/>
          <w:u w:val="single"/>
        </w:rPr>
        <w:t>Obala</w:t>
      </w:r>
      <w:proofErr w:type="spellEnd"/>
      <w:r w:rsidRPr="002F5EF6">
        <w:rPr>
          <w:rFonts w:ascii="Calibri" w:hAnsi="Calibri" w:cs="Calibri"/>
          <w:b/>
          <w:sz w:val="28"/>
          <w:szCs w:val="28"/>
          <w:u w:val="single"/>
        </w:rPr>
        <w:t xml:space="preserve"> 13 </w:t>
      </w:r>
      <w:proofErr w:type="spellStart"/>
      <w:r w:rsidRPr="002F5EF6">
        <w:rPr>
          <w:rFonts w:ascii="Calibri" w:hAnsi="Calibri" w:cs="Calibri"/>
          <w:b/>
          <w:sz w:val="28"/>
          <w:szCs w:val="28"/>
          <w:u w:val="single"/>
        </w:rPr>
        <w:t>Jula</w:t>
      </w:r>
      <w:proofErr w:type="spellEnd"/>
      <w:r w:rsidRPr="002F5EF6">
        <w:rPr>
          <w:rFonts w:ascii="Calibri" w:hAnsi="Calibri" w:cs="Calibri"/>
          <w:b/>
          <w:sz w:val="28"/>
          <w:szCs w:val="28"/>
          <w:u w:val="single"/>
        </w:rPr>
        <w:t xml:space="preserve"> bb, 85000 Bar,  +382 30 315-166  PIB:02333155   </w:t>
      </w:r>
    </w:p>
    <w:p w14:paraId="7B778439" w14:textId="77777777" w:rsidR="00C95D68" w:rsidRPr="002F5EF6" w:rsidRDefault="00C95D68" w:rsidP="00F833C5">
      <w:pPr>
        <w:pStyle w:val="NoSpacing"/>
        <w:jc w:val="center"/>
        <w:rPr>
          <w:b/>
          <w:bCs/>
          <w:u w:val="single"/>
          <w:lang w:val="en-US"/>
        </w:rPr>
      </w:pPr>
    </w:p>
    <w:p w14:paraId="33186D27" w14:textId="77777777" w:rsidR="00C95D68" w:rsidRDefault="00C95D68" w:rsidP="00F833C5">
      <w:pPr>
        <w:pStyle w:val="NoSpacing"/>
        <w:jc w:val="center"/>
        <w:rPr>
          <w:b/>
          <w:bCs/>
          <w:u w:val="single"/>
          <w:lang w:val="en-US"/>
        </w:rPr>
      </w:pPr>
    </w:p>
    <w:p w14:paraId="4B20411E" w14:textId="77777777" w:rsidR="003A335D" w:rsidRPr="002F5EF6" w:rsidRDefault="003A335D" w:rsidP="00F833C5">
      <w:pPr>
        <w:pStyle w:val="NoSpacing"/>
        <w:jc w:val="center"/>
        <w:rPr>
          <w:b/>
          <w:bCs/>
          <w:u w:val="single"/>
          <w:lang w:val="en-US"/>
        </w:rPr>
      </w:pPr>
    </w:p>
    <w:p w14:paraId="2F6EEE79" w14:textId="77777777" w:rsidR="00C95D68" w:rsidRPr="002F5EF6" w:rsidRDefault="00C95D68" w:rsidP="00F833C5">
      <w:pPr>
        <w:pStyle w:val="NoSpacing"/>
        <w:jc w:val="center"/>
        <w:rPr>
          <w:b/>
          <w:bCs/>
          <w:u w:val="single"/>
          <w:lang w:val="en-US"/>
        </w:rPr>
      </w:pPr>
    </w:p>
    <w:p w14:paraId="4DBF51E0" w14:textId="77777777" w:rsidR="009851BE" w:rsidRPr="00633077" w:rsidRDefault="00C95D68" w:rsidP="00C95D68">
      <w:pPr>
        <w:pStyle w:val="NoSpacing"/>
        <w:jc w:val="center"/>
        <w:rPr>
          <w:b/>
          <w:bCs/>
          <w:sz w:val="28"/>
          <w:szCs w:val="28"/>
          <w:u w:val="single"/>
          <w:lang w:val="en-US"/>
        </w:rPr>
      </w:pPr>
      <w:r w:rsidRPr="00633077">
        <w:rPr>
          <w:b/>
          <w:bCs/>
          <w:sz w:val="28"/>
          <w:szCs w:val="28"/>
          <w:lang w:val="en-US"/>
        </w:rPr>
        <w:t xml:space="preserve">       </w:t>
      </w:r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IZVJEŠTAJ </w:t>
      </w:r>
      <w:r w:rsidR="00FF269B" w:rsidRPr="00633077">
        <w:rPr>
          <w:b/>
          <w:bCs/>
          <w:sz w:val="28"/>
          <w:szCs w:val="28"/>
          <w:u w:val="single"/>
          <w:lang w:val="en-US"/>
        </w:rPr>
        <w:t xml:space="preserve">O POSLOVANJU </w:t>
      </w:r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AD </w:t>
      </w:r>
      <w:r w:rsidRPr="00633077">
        <w:rPr>
          <w:b/>
          <w:bCs/>
          <w:sz w:val="28"/>
          <w:szCs w:val="28"/>
          <w:u w:val="single"/>
          <w:lang w:val="en-US"/>
        </w:rPr>
        <w:t>MARINA</w:t>
      </w:r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 </w:t>
      </w:r>
      <w:r w:rsidRPr="00633077">
        <w:rPr>
          <w:b/>
          <w:bCs/>
          <w:sz w:val="28"/>
          <w:szCs w:val="28"/>
          <w:u w:val="single"/>
          <w:lang w:val="en-US"/>
        </w:rPr>
        <w:t>BAR</w:t>
      </w:r>
    </w:p>
    <w:p w14:paraId="3FB4E7E0" w14:textId="77777777" w:rsidR="00862D4D" w:rsidRPr="00633077" w:rsidRDefault="00941CFA" w:rsidP="00941CFA">
      <w:pPr>
        <w:ind w:left="720"/>
        <w:rPr>
          <w:b/>
          <w:bCs/>
          <w:sz w:val="28"/>
          <w:szCs w:val="28"/>
          <w:u w:val="single"/>
          <w:lang w:val="en-US"/>
        </w:rPr>
      </w:pPr>
      <w:r w:rsidRPr="00633077">
        <w:rPr>
          <w:b/>
          <w:bCs/>
          <w:sz w:val="28"/>
          <w:szCs w:val="28"/>
          <w:lang w:val="en-US"/>
        </w:rPr>
        <w:t xml:space="preserve">                  </w:t>
      </w:r>
      <w:r w:rsidRPr="00633077">
        <w:rPr>
          <w:b/>
          <w:bCs/>
          <w:sz w:val="28"/>
          <w:szCs w:val="28"/>
          <w:u w:val="single"/>
          <w:lang w:val="en-US"/>
        </w:rPr>
        <w:t xml:space="preserve"> </w:t>
      </w:r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u </w:t>
      </w:r>
      <w:proofErr w:type="spellStart"/>
      <w:r w:rsidR="00862D4D" w:rsidRPr="00633077">
        <w:rPr>
          <w:b/>
          <w:bCs/>
          <w:sz w:val="28"/>
          <w:szCs w:val="28"/>
          <w:u w:val="single"/>
          <w:lang w:val="en-US"/>
        </w:rPr>
        <w:t>periodu</w:t>
      </w:r>
      <w:proofErr w:type="spellEnd"/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 od </w:t>
      </w:r>
      <w:r w:rsidR="009851BE" w:rsidRPr="00633077">
        <w:rPr>
          <w:b/>
          <w:bCs/>
          <w:sz w:val="28"/>
          <w:szCs w:val="28"/>
          <w:u w:val="single"/>
          <w:lang w:val="en-US"/>
        </w:rPr>
        <w:t xml:space="preserve">  </w:t>
      </w:r>
      <w:r w:rsidR="00154BB0" w:rsidRPr="00633077">
        <w:rPr>
          <w:b/>
          <w:bCs/>
          <w:sz w:val="28"/>
          <w:szCs w:val="28"/>
          <w:u w:val="single"/>
          <w:lang w:val="en-US"/>
        </w:rPr>
        <w:t>01.01.202</w:t>
      </w:r>
      <w:r w:rsidR="00835FC4" w:rsidRPr="00633077">
        <w:rPr>
          <w:b/>
          <w:bCs/>
          <w:sz w:val="28"/>
          <w:szCs w:val="28"/>
          <w:u w:val="single"/>
          <w:lang w:val="en-US"/>
        </w:rPr>
        <w:t>2. do 31.12.2022</w:t>
      </w:r>
      <w:r w:rsidR="00862D4D" w:rsidRPr="00633077">
        <w:rPr>
          <w:b/>
          <w:bCs/>
          <w:sz w:val="28"/>
          <w:szCs w:val="28"/>
          <w:u w:val="single"/>
          <w:lang w:val="en-US"/>
        </w:rPr>
        <w:t xml:space="preserve">. </w:t>
      </w:r>
      <w:proofErr w:type="spellStart"/>
      <w:r w:rsidR="00862D4D" w:rsidRPr="00633077">
        <w:rPr>
          <w:b/>
          <w:bCs/>
          <w:sz w:val="28"/>
          <w:szCs w:val="28"/>
          <w:u w:val="single"/>
          <w:lang w:val="en-US"/>
        </w:rPr>
        <w:t>godine</w:t>
      </w:r>
      <w:proofErr w:type="spellEnd"/>
    </w:p>
    <w:p w14:paraId="1A304CA0" w14:textId="77777777" w:rsidR="00BF345B" w:rsidRDefault="00BF345B" w:rsidP="00862D4D">
      <w:pPr>
        <w:jc w:val="both"/>
        <w:rPr>
          <w:lang w:val="en-US"/>
        </w:rPr>
      </w:pPr>
    </w:p>
    <w:p w14:paraId="49F85E35" w14:textId="77777777" w:rsidR="003E694A" w:rsidRDefault="003E694A" w:rsidP="00862D4D">
      <w:pPr>
        <w:jc w:val="both"/>
        <w:rPr>
          <w:lang w:val="en-US"/>
        </w:rPr>
      </w:pPr>
    </w:p>
    <w:p w14:paraId="5842E70D" w14:textId="7E223AA9" w:rsidR="00BF345B" w:rsidRDefault="00732CC7" w:rsidP="00862D4D">
      <w:pPr>
        <w:jc w:val="both"/>
        <w:rPr>
          <w:lang w:val="en-US"/>
        </w:rPr>
      </w:pPr>
      <w:r w:rsidRPr="002F5EF6">
        <w:rPr>
          <w:lang w:val="en-US"/>
        </w:rPr>
        <w:t xml:space="preserve"> </w:t>
      </w:r>
      <w:proofErr w:type="spellStart"/>
      <w:r w:rsidR="00835FC4">
        <w:rPr>
          <w:lang w:val="en-US"/>
        </w:rPr>
        <w:t>Akcionarsko</w:t>
      </w:r>
      <w:proofErr w:type="spellEnd"/>
      <w:r w:rsidR="00835FC4">
        <w:rPr>
          <w:lang w:val="en-US"/>
        </w:rPr>
        <w:t xml:space="preserve"> </w:t>
      </w:r>
      <w:proofErr w:type="spellStart"/>
      <w:r w:rsidR="00835FC4">
        <w:rPr>
          <w:lang w:val="en-US"/>
        </w:rPr>
        <w:t>društvo</w:t>
      </w:r>
      <w:proofErr w:type="spellEnd"/>
      <w:r w:rsidR="00835FC4">
        <w:rPr>
          <w:lang w:val="en-US"/>
        </w:rPr>
        <w:t xml:space="preserve"> AD </w:t>
      </w:r>
      <w:r w:rsidR="00862D4D" w:rsidRPr="002F5EF6">
        <w:rPr>
          <w:lang w:val="en-US"/>
        </w:rPr>
        <w:t>M</w:t>
      </w:r>
      <w:r w:rsidR="00C71D37" w:rsidRPr="002F5EF6">
        <w:rPr>
          <w:lang w:val="en-US"/>
        </w:rPr>
        <w:t>ARINA</w:t>
      </w:r>
      <w:r w:rsidR="00862D4D" w:rsidRPr="002F5EF6">
        <w:rPr>
          <w:lang w:val="en-US"/>
        </w:rPr>
        <w:t xml:space="preserve"> B</w:t>
      </w:r>
      <w:r w:rsidR="00C71D37" w:rsidRPr="002F5EF6">
        <w:rPr>
          <w:lang w:val="en-US"/>
        </w:rPr>
        <w:t>AR</w:t>
      </w:r>
      <w:r w:rsidR="00862D4D" w:rsidRPr="002F5EF6">
        <w:rPr>
          <w:lang w:val="en-US"/>
        </w:rPr>
        <w:t xml:space="preserve"> </w:t>
      </w:r>
      <w:proofErr w:type="spellStart"/>
      <w:r w:rsidR="00862D4D" w:rsidRPr="002F5EF6">
        <w:rPr>
          <w:lang w:val="en-US"/>
        </w:rPr>
        <w:t>osnovano</w:t>
      </w:r>
      <w:proofErr w:type="spellEnd"/>
      <w:r w:rsidR="00862D4D" w:rsidRPr="002F5EF6">
        <w:rPr>
          <w:lang w:val="en-US"/>
        </w:rPr>
        <w:t xml:space="preserve"> je </w:t>
      </w:r>
      <w:proofErr w:type="spellStart"/>
      <w:r w:rsidR="00862D4D" w:rsidRPr="002F5EF6">
        <w:rPr>
          <w:lang w:val="en-US"/>
        </w:rPr>
        <w:t>nakon</w:t>
      </w:r>
      <w:proofErr w:type="spellEnd"/>
      <w:r w:rsidR="00862D4D" w:rsidRPr="002F5EF6">
        <w:rPr>
          <w:lang w:val="en-US"/>
        </w:rPr>
        <w:t xml:space="preserve"> </w:t>
      </w:r>
      <w:proofErr w:type="spellStart"/>
      <w:r w:rsidR="00862D4D" w:rsidRPr="002F5EF6">
        <w:rPr>
          <w:lang w:val="en-US"/>
        </w:rPr>
        <w:t>statutarne</w:t>
      </w:r>
      <w:proofErr w:type="spellEnd"/>
      <w:r w:rsidR="00862D4D" w:rsidRPr="002F5EF6">
        <w:rPr>
          <w:lang w:val="en-US"/>
        </w:rPr>
        <w:t xml:space="preserve"> </w:t>
      </w:r>
      <w:proofErr w:type="spellStart"/>
      <w:r w:rsidR="00862D4D" w:rsidRPr="002F5EF6">
        <w:rPr>
          <w:lang w:val="en-US"/>
        </w:rPr>
        <w:t>segmentacije</w:t>
      </w:r>
      <w:proofErr w:type="spellEnd"/>
      <w:r w:rsidRPr="002F5EF6">
        <w:rPr>
          <w:lang w:val="en-US"/>
        </w:rPr>
        <w:t xml:space="preserve"> </w:t>
      </w:r>
      <w:r w:rsidR="00C71D37" w:rsidRPr="002F5EF6">
        <w:rPr>
          <w:lang w:val="en-US"/>
        </w:rPr>
        <w:t xml:space="preserve">       </w:t>
      </w:r>
      <w:r w:rsidR="008A5701">
        <w:rPr>
          <w:lang w:val="en-US"/>
        </w:rPr>
        <w:t xml:space="preserve">    </w:t>
      </w:r>
      <w:r w:rsidR="00C71D37" w:rsidRPr="002F5EF6">
        <w:rPr>
          <w:lang w:val="en-US"/>
        </w:rPr>
        <w:t xml:space="preserve">           </w:t>
      </w:r>
      <w:r w:rsidRPr="002F5EF6">
        <w:rPr>
          <w:lang w:val="en-US"/>
        </w:rPr>
        <w:t xml:space="preserve">AD ,, </w:t>
      </w:r>
      <w:proofErr w:type="spellStart"/>
      <w:r w:rsidRPr="002F5EF6">
        <w:rPr>
          <w:lang w:val="en-US"/>
        </w:rPr>
        <w:t>Prekookeanska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plovidba</w:t>
      </w:r>
      <w:proofErr w:type="spellEnd"/>
      <w:r w:rsidR="00C71D37" w:rsidRPr="002F5EF6">
        <w:rPr>
          <w:lang w:val="en-US"/>
        </w:rPr>
        <w:t>’’</w:t>
      </w:r>
      <w:r w:rsidR="00862D4D" w:rsidRPr="002F5EF6">
        <w:rPr>
          <w:lang w:val="en-US"/>
        </w:rPr>
        <w:t xml:space="preserve"> Bar.</w:t>
      </w:r>
      <w:r w:rsidR="00C71D37" w:rsidRPr="002F5EF6">
        <w:rPr>
          <w:lang w:val="en-US"/>
        </w:rPr>
        <w:t xml:space="preserve"> </w:t>
      </w:r>
      <w:r w:rsidR="00862D4D" w:rsidRPr="002F5EF6">
        <w:rPr>
          <w:lang w:val="en-US"/>
        </w:rPr>
        <w:t xml:space="preserve"> </w:t>
      </w:r>
    </w:p>
    <w:p w14:paraId="640D828D" w14:textId="77777777" w:rsidR="001E12C0" w:rsidRDefault="001E12C0" w:rsidP="00862D4D">
      <w:pPr>
        <w:jc w:val="both"/>
        <w:rPr>
          <w:lang w:val="en-US"/>
        </w:rPr>
      </w:pPr>
    </w:p>
    <w:p w14:paraId="19A6C8B9" w14:textId="759EB187" w:rsidR="00862D4D" w:rsidRPr="002F5EF6" w:rsidRDefault="00862D4D" w:rsidP="00862D4D">
      <w:pPr>
        <w:jc w:val="both"/>
        <w:rPr>
          <w:lang w:val="en-US"/>
        </w:rPr>
      </w:pPr>
      <w:r w:rsidRPr="002F5EF6">
        <w:rPr>
          <w:lang w:val="en-US"/>
        </w:rPr>
        <w:t xml:space="preserve">Marina je </w:t>
      </w:r>
      <w:proofErr w:type="spellStart"/>
      <w:r w:rsidRPr="002F5EF6">
        <w:rPr>
          <w:lang w:val="en-US"/>
        </w:rPr>
        <w:t>Akcionarsko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društvo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sa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mješovitom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strukturom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kapitala</w:t>
      </w:r>
      <w:proofErr w:type="spellEnd"/>
      <w:r w:rsidRPr="002F5EF6">
        <w:rPr>
          <w:lang w:val="en-US"/>
        </w:rPr>
        <w:t>.</w:t>
      </w:r>
    </w:p>
    <w:p w14:paraId="2E6F235F" w14:textId="77777777" w:rsidR="00B936BC" w:rsidRPr="002F5EF6" w:rsidRDefault="00B936BC" w:rsidP="00862D4D">
      <w:pPr>
        <w:jc w:val="both"/>
        <w:rPr>
          <w:lang w:val="en-US"/>
        </w:rPr>
      </w:pPr>
    </w:p>
    <w:p w14:paraId="78ACB5E5" w14:textId="77777777" w:rsidR="00870794" w:rsidRPr="002F5EF6" w:rsidRDefault="00862D4D" w:rsidP="00870794">
      <w:pPr>
        <w:rPr>
          <w:rFonts w:eastAsia="Calibri"/>
          <w:b/>
          <w:szCs w:val="22"/>
          <w:lang w:val="it-IT" w:eastAsia="en-US"/>
        </w:rPr>
      </w:pPr>
      <w:r w:rsidRPr="002F5EF6">
        <w:rPr>
          <w:lang w:val="en-US"/>
        </w:rPr>
        <w:t xml:space="preserve">  </w:t>
      </w:r>
      <w:r w:rsidR="00870794" w:rsidRPr="002F5EF6">
        <w:rPr>
          <w:rFonts w:eastAsia="Calibri"/>
          <w:b/>
          <w:szCs w:val="22"/>
          <w:lang w:val="it-IT" w:eastAsia="en-US"/>
        </w:rPr>
        <w:t xml:space="preserve">Vlasnička struktura  </w:t>
      </w:r>
    </w:p>
    <w:p w14:paraId="14CB0FD9" w14:textId="77777777" w:rsidR="00870794" w:rsidRPr="002F5EF6" w:rsidRDefault="00870794" w:rsidP="00870794">
      <w:pPr>
        <w:spacing w:after="200" w:line="276" w:lineRule="auto"/>
        <w:ind w:left="720"/>
        <w:rPr>
          <w:rFonts w:eastAsia="Calibri"/>
          <w:lang w:val="it-IT" w:eastAsia="en-US"/>
        </w:rPr>
      </w:pPr>
      <w:r w:rsidRPr="002F5EF6">
        <w:rPr>
          <w:rFonts w:eastAsia="Calibri"/>
          <w:lang w:val="it-IT" w:eastAsia="en-US"/>
        </w:rPr>
        <w:t xml:space="preserve">Naziv emitenta: AD MARINA BAR </w:t>
      </w:r>
      <w:r w:rsidRPr="002F5EF6">
        <w:rPr>
          <w:rFonts w:eastAsia="Calibri"/>
          <w:lang w:val="it-IT" w:eastAsia="en-US"/>
        </w:rPr>
        <w:br/>
        <w:t xml:space="preserve">Simbol trgovine : MARB </w:t>
      </w:r>
    </w:p>
    <w:p w14:paraId="4D2BC2D6" w14:textId="77777777" w:rsidR="00870794" w:rsidRPr="002F5EF6" w:rsidRDefault="00870794" w:rsidP="00F833C5">
      <w:pPr>
        <w:spacing w:after="200" w:line="276" w:lineRule="auto"/>
        <w:ind w:left="720"/>
        <w:rPr>
          <w:rFonts w:eastAsia="Calibri"/>
          <w:lang w:val="it-IT" w:eastAsia="en-US"/>
        </w:rPr>
      </w:pPr>
      <w:r w:rsidRPr="002F5EF6">
        <w:rPr>
          <w:rFonts w:eastAsia="Calibri"/>
          <w:lang w:val="it-IT" w:eastAsia="en-US"/>
        </w:rPr>
        <w:t xml:space="preserve">Nominalna vrijednost po akciji: 5,7926 € </w:t>
      </w:r>
      <w:r w:rsidRPr="002F5EF6">
        <w:rPr>
          <w:rFonts w:eastAsia="Calibri"/>
          <w:lang w:val="it-IT" w:eastAsia="en-US"/>
        </w:rPr>
        <w:br/>
        <w:t>Ukupno akcija: 1.519.379</w:t>
      </w:r>
      <w:r w:rsidRPr="002F5EF6">
        <w:rPr>
          <w:rFonts w:eastAsia="Calibri"/>
          <w:lang w:val="it-IT" w:eastAsia="en-US"/>
        </w:rPr>
        <w:br/>
        <w:t>Vrijednost akcijskog kapitala:  8.801.154,79 €</w:t>
      </w:r>
    </w:p>
    <w:p w14:paraId="22DE5EC4" w14:textId="77777777" w:rsidR="00870794" w:rsidRPr="002F5EF6" w:rsidRDefault="00870794" w:rsidP="00870794">
      <w:pPr>
        <w:spacing w:after="200" w:line="276" w:lineRule="auto"/>
        <w:rPr>
          <w:rFonts w:eastAsia="Calibri"/>
          <w:b/>
          <w:lang w:val="it-IT" w:eastAsia="en-US"/>
        </w:rPr>
      </w:pPr>
      <w:r w:rsidRPr="002F5EF6">
        <w:rPr>
          <w:rFonts w:eastAsia="Calibri"/>
          <w:b/>
          <w:lang w:val="it-IT" w:eastAsia="en-US"/>
        </w:rPr>
        <w:t>Struktura kapitala - 3</w:t>
      </w:r>
      <w:r w:rsidR="00B936BC" w:rsidRPr="002F5EF6">
        <w:rPr>
          <w:rFonts w:eastAsia="Calibri"/>
          <w:b/>
          <w:lang w:val="it-IT" w:eastAsia="en-US"/>
        </w:rPr>
        <w:t>1</w:t>
      </w:r>
      <w:r w:rsidRPr="002F5EF6">
        <w:rPr>
          <w:rFonts w:eastAsia="Calibri"/>
          <w:b/>
          <w:lang w:val="it-IT" w:eastAsia="en-US"/>
        </w:rPr>
        <w:t>.</w:t>
      </w:r>
      <w:r w:rsidR="00B936BC" w:rsidRPr="002F5EF6">
        <w:rPr>
          <w:rFonts w:eastAsia="Calibri"/>
          <w:b/>
          <w:lang w:val="it-IT" w:eastAsia="en-US"/>
        </w:rPr>
        <w:t>12</w:t>
      </w:r>
      <w:r w:rsidRPr="002F5EF6">
        <w:rPr>
          <w:rFonts w:eastAsia="Calibri"/>
          <w:b/>
          <w:lang w:val="it-IT" w:eastAsia="en-US"/>
        </w:rPr>
        <w:t>.202</w:t>
      </w:r>
      <w:r w:rsidR="00307992">
        <w:rPr>
          <w:rFonts w:eastAsia="Calibri"/>
          <w:b/>
          <w:lang w:val="it-IT" w:eastAsia="en-US"/>
        </w:rPr>
        <w:t>2</w:t>
      </w:r>
      <w:r w:rsidRPr="002F5EF6">
        <w:rPr>
          <w:rFonts w:eastAsia="Calibri"/>
          <w:b/>
          <w:lang w:val="it-IT" w:eastAsia="en-US"/>
        </w:rPr>
        <w:t xml:space="preserve"> g.</w:t>
      </w:r>
    </w:p>
    <w:p w14:paraId="47E64292" w14:textId="77777777" w:rsidR="00870794" w:rsidRPr="002F5EF6" w:rsidRDefault="00981149" w:rsidP="00981149">
      <w:pPr>
        <w:spacing w:after="200" w:line="276" w:lineRule="auto"/>
        <w:rPr>
          <w:rFonts w:eastAsia="Calibri"/>
          <w:szCs w:val="22"/>
          <w:lang w:val="it-IT" w:eastAsia="en-US"/>
        </w:rPr>
      </w:pPr>
      <w:r w:rsidRPr="002F5EF6">
        <w:rPr>
          <w:rFonts w:eastAsia="Calibri"/>
          <w:szCs w:val="22"/>
          <w:lang w:val="it-IT" w:eastAsia="en-US"/>
        </w:rPr>
        <w:t xml:space="preserve">       </w:t>
      </w:r>
      <w:r w:rsidR="00A12B33" w:rsidRPr="002F5EF6">
        <w:rPr>
          <w:rFonts w:eastAsia="Calibri"/>
          <w:szCs w:val="22"/>
          <w:lang w:val="it-IT" w:eastAsia="en-US"/>
        </w:rPr>
        <w:t>Tabela br. 1</w:t>
      </w:r>
      <w:r w:rsidR="00870794" w:rsidRPr="002F5EF6">
        <w:rPr>
          <w:rFonts w:eastAsia="Calibri"/>
          <w:szCs w:val="22"/>
          <w:lang w:val="it-IT" w:eastAsia="en-US"/>
        </w:rPr>
        <w:t>: Struktura kapitala - 3</w:t>
      </w:r>
      <w:r w:rsidR="00B936BC" w:rsidRPr="002F5EF6">
        <w:rPr>
          <w:rFonts w:eastAsia="Calibri"/>
          <w:szCs w:val="22"/>
          <w:lang w:val="it-IT" w:eastAsia="en-US"/>
        </w:rPr>
        <w:t>1</w:t>
      </w:r>
      <w:r w:rsidR="00870794" w:rsidRPr="002F5EF6">
        <w:rPr>
          <w:rFonts w:eastAsia="Calibri"/>
          <w:szCs w:val="22"/>
          <w:lang w:val="it-IT" w:eastAsia="en-US"/>
        </w:rPr>
        <w:t>.</w:t>
      </w:r>
      <w:r w:rsidR="00B936BC" w:rsidRPr="002F5EF6">
        <w:rPr>
          <w:rFonts w:eastAsia="Calibri"/>
          <w:szCs w:val="22"/>
          <w:lang w:val="it-IT" w:eastAsia="en-US"/>
        </w:rPr>
        <w:t>12</w:t>
      </w:r>
      <w:r w:rsidR="00870794" w:rsidRPr="002F5EF6">
        <w:rPr>
          <w:rFonts w:eastAsia="Calibri"/>
          <w:szCs w:val="22"/>
          <w:lang w:val="it-IT" w:eastAsia="en-US"/>
        </w:rPr>
        <w:t>.</w:t>
      </w:r>
      <w:r w:rsidR="00496102">
        <w:rPr>
          <w:rFonts w:eastAsia="Calibri"/>
          <w:szCs w:val="22"/>
          <w:lang w:val="it-IT" w:eastAsia="en-US"/>
        </w:rPr>
        <w:t>2022</w:t>
      </w:r>
      <w:r w:rsidR="00870794" w:rsidRPr="002F5EF6">
        <w:rPr>
          <w:rFonts w:eastAsia="Calibri"/>
          <w:szCs w:val="22"/>
          <w:lang w:val="it-IT" w:eastAsia="en-US"/>
        </w:rPr>
        <w:t>g.</w:t>
      </w:r>
      <w:r w:rsidR="00C95D68" w:rsidRPr="002F5EF6">
        <w:rPr>
          <w:rFonts w:eastAsia="Calibri"/>
          <w:szCs w:val="22"/>
          <w:lang w:val="it-IT" w:eastAsia="en-US"/>
        </w:rPr>
        <w:t>-</w:t>
      </w:r>
      <w:r w:rsidR="00A17E45">
        <w:rPr>
          <w:rFonts w:eastAsia="Calibri"/>
          <w:szCs w:val="22"/>
          <w:lang w:val="it-IT" w:eastAsia="en-US"/>
        </w:rPr>
        <w:t xml:space="preserve"> </w:t>
      </w:r>
      <w:r w:rsidR="00C95D68" w:rsidRPr="002F5EF6">
        <w:rPr>
          <w:rFonts w:eastAsia="Calibri"/>
          <w:szCs w:val="22"/>
          <w:lang w:val="it-IT" w:eastAsia="en-US"/>
        </w:rPr>
        <w:t>izvod iz CKDD</w:t>
      </w:r>
    </w:p>
    <w:tbl>
      <w:tblPr>
        <w:tblW w:w="8538" w:type="dxa"/>
        <w:jc w:val="center"/>
        <w:tblBorders>
          <w:bottom w:val="single" w:sz="12" w:space="0" w:color="808080"/>
        </w:tblBorders>
        <w:tblLook w:val="01E0" w:firstRow="1" w:lastRow="1" w:firstColumn="1" w:lastColumn="1" w:noHBand="0" w:noVBand="0"/>
      </w:tblPr>
      <w:tblGrid>
        <w:gridCol w:w="4684"/>
        <w:gridCol w:w="2072"/>
        <w:gridCol w:w="1782"/>
      </w:tblGrid>
      <w:tr w:rsidR="00981149" w:rsidRPr="002F5EF6" w14:paraId="1BC5A376" w14:textId="77777777" w:rsidTr="00981149">
        <w:trPr>
          <w:trHeight w:val="119"/>
          <w:jc w:val="center"/>
        </w:trPr>
        <w:tc>
          <w:tcPr>
            <w:tcW w:w="46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pct75" w:color="008080" w:fill="008000"/>
          </w:tcPr>
          <w:p w14:paraId="6794ABCF" w14:textId="77777777" w:rsidR="00981149" w:rsidRPr="002F5EF6" w:rsidRDefault="00981149" w:rsidP="00981149">
            <w:pPr>
              <w:spacing w:line="480" w:lineRule="auto"/>
              <w:rPr>
                <w:rFonts w:cs="Calibri"/>
                <w:b/>
                <w:bCs/>
              </w:rPr>
            </w:pPr>
            <w:proofErr w:type="spellStart"/>
            <w:r w:rsidRPr="002F5EF6">
              <w:rPr>
                <w:rFonts w:cs="Calibri"/>
                <w:b/>
                <w:bCs/>
              </w:rPr>
              <w:t>Vlasnik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pct75" w:color="008080" w:fill="008000"/>
          </w:tcPr>
          <w:p w14:paraId="4D901D0F" w14:textId="77777777" w:rsidR="00981149" w:rsidRPr="002F5EF6" w:rsidRDefault="00981149" w:rsidP="00981149">
            <w:pPr>
              <w:spacing w:line="480" w:lineRule="auto"/>
              <w:jc w:val="right"/>
              <w:rPr>
                <w:rFonts w:cs="Calibri"/>
                <w:b/>
                <w:bCs/>
              </w:rPr>
            </w:pPr>
            <w:r w:rsidRPr="002F5EF6">
              <w:rPr>
                <w:rFonts w:cs="Calibri"/>
                <w:b/>
                <w:bCs/>
              </w:rPr>
              <w:t xml:space="preserve">br. </w:t>
            </w:r>
            <w:proofErr w:type="spellStart"/>
            <w:r w:rsidRPr="002F5EF6">
              <w:rPr>
                <w:rFonts w:cs="Calibri"/>
                <w:b/>
                <w:bCs/>
              </w:rPr>
              <w:t>akcija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pct75" w:color="008080" w:fill="008000"/>
          </w:tcPr>
          <w:p w14:paraId="2CB7A1C4" w14:textId="77777777" w:rsidR="00981149" w:rsidRPr="002F5EF6" w:rsidRDefault="00981149" w:rsidP="00981149">
            <w:pPr>
              <w:spacing w:line="480" w:lineRule="auto"/>
              <w:jc w:val="center"/>
              <w:rPr>
                <w:rFonts w:cs="Calibri"/>
                <w:b/>
                <w:bCs/>
              </w:rPr>
            </w:pPr>
            <w:r w:rsidRPr="002F5EF6">
              <w:rPr>
                <w:rFonts w:cs="Calibri"/>
                <w:b/>
                <w:bCs/>
              </w:rPr>
              <w:t xml:space="preserve">            %</w:t>
            </w:r>
          </w:p>
        </w:tc>
      </w:tr>
      <w:tr w:rsidR="00981149" w:rsidRPr="002F5EF6" w14:paraId="3C0BB72B" w14:textId="77777777" w:rsidTr="00981149">
        <w:trPr>
          <w:trHeight w:val="76"/>
          <w:jc w:val="center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081CB5BF" w14:textId="77777777" w:rsidR="00981149" w:rsidRPr="002F5EF6" w:rsidRDefault="00981149" w:rsidP="00981149">
            <w:pPr>
              <w:rPr>
                <w:rFonts w:cs="Calibri"/>
                <w:b/>
              </w:rPr>
            </w:pPr>
            <w:proofErr w:type="spellStart"/>
            <w:r w:rsidRPr="002F5EF6">
              <w:rPr>
                <w:rFonts w:cs="Calibri"/>
                <w:b/>
              </w:rPr>
              <w:t>Država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507505A0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295.838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3465AF88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19.4710</w:t>
            </w:r>
          </w:p>
        </w:tc>
      </w:tr>
      <w:tr w:rsidR="00981149" w:rsidRPr="002F5EF6" w14:paraId="3BCFEB7B" w14:textId="77777777" w:rsidTr="00981149">
        <w:trPr>
          <w:trHeight w:val="79"/>
          <w:jc w:val="center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287EC065" w14:textId="77777777" w:rsidR="00981149" w:rsidRPr="002F5EF6" w:rsidRDefault="00981149" w:rsidP="00981149">
            <w:pPr>
              <w:rPr>
                <w:rFonts w:cs="Calibri"/>
                <w:b/>
              </w:rPr>
            </w:pPr>
            <w:proofErr w:type="spellStart"/>
            <w:r w:rsidRPr="002F5EF6">
              <w:rPr>
                <w:rFonts w:cs="Calibri"/>
                <w:b/>
              </w:rPr>
              <w:t>Investiciono-razvojni</w:t>
            </w:r>
            <w:proofErr w:type="spellEnd"/>
            <w:r w:rsidRPr="002F5EF6">
              <w:rPr>
                <w:rFonts w:cs="Calibri"/>
                <w:b/>
              </w:rPr>
              <w:t xml:space="preserve"> fond CG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21A79904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258.283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35A5FC61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16.9992</w:t>
            </w:r>
          </w:p>
        </w:tc>
      </w:tr>
      <w:tr w:rsidR="00981149" w:rsidRPr="002F5EF6" w14:paraId="2C9F2851" w14:textId="77777777" w:rsidTr="00981149">
        <w:trPr>
          <w:trHeight w:val="119"/>
          <w:jc w:val="center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3289AA25" w14:textId="77777777" w:rsidR="00981149" w:rsidRPr="002F5EF6" w:rsidRDefault="00981149" w:rsidP="00981149">
            <w:pPr>
              <w:rPr>
                <w:rFonts w:cs="Calibri"/>
                <w:b/>
              </w:rPr>
            </w:pPr>
            <w:r w:rsidRPr="002F5EF6">
              <w:rPr>
                <w:rFonts w:cs="Calibri"/>
                <w:b/>
              </w:rPr>
              <w:t>Fond PIO  CG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66512CD3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203.704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53317D42" w14:textId="77777777" w:rsidR="00981149" w:rsidRPr="002F5EF6" w:rsidRDefault="00981149" w:rsidP="00981149">
            <w:pPr>
              <w:jc w:val="right"/>
              <w:rPr>
                <w:rFonts w:cs="Calibri"/>
              </w:rPr>
            </w:pPr>
            <w:r w:rsidRPr="002F5EF6">
              <w:rPr>
                <w:rFonts w:cs="Calibri"/>
                <w:szCs w:val="26"/>
              </w:rPr>
              <w:t>13.4071</w:t>
            </w:r>
          </w:p>
        </w:tc>
      </w:tr>
      <w:tr w:rsidR="00981149" w:rsidRPr="002F5EF6" w14:paraId="13286A98" w14:textId="77777777" w:rsidTr="00981149">
        <w:trPr>
          <w:trHeight w:val="485"/>
          <w:jc w:val="center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70DA6F02" w14:textId="77777777" w:rsidR="00981149" w:rsidRPr="002F5EF6" w:rsidRDefault="00981149" w:rsidP="00981149">
            <w:pPr>
              <w:rPr>
                <w:rFonts w:cs="Calibri"/>
                <w:b/>
                <w:lang w:val="sr-Cyrl-CS"/>
              </w:rPr>
            </w:pPr>
            <w:proofErr w:type="spellStart"/>
            <w:r w:rsidRPr="002F5EF6">
              <w:rPr>
                <w:rFonts w:cs="Calibri"/>
                <w:b/>
              </w:rPr>
              <w:t>Zavod</w:t>
            </w:r>
            <w:proofErr w:type="spellEnd"/>
            <w:r w:rsidRPr="002F5EF6">
              <w:rPr>
                <w:rFonts w:cs="Calibri"/>
                <w:b/>
              </w:rPr>
              <w:t xml:space="preserve"> za </w:t>
            </w:r>
            <w:proofErr w:type="spellStart"/>
            <w:r w:rsidRPr="002F5EF6">
              <w:rPr>
                <w:rFonts w:cs="Calibri"/>
                <w:b/>
              </w:rPr>
              <w:t>zapošljavanje</w:t>
            </w:r>
            <w:proofErr w:type="spellEnd"/>
            <w:r w:rsidRPr="002F5EF6">
              <w:rPr>
                <w:rFonts w:cs="Calibri"/>
                <w:b/>
              </w:rPr>
              <w:t xml:space="preserve"> CG</w:t>
            </w:r>
          </w:p>
          <w:p w14:paraId="06E199CA" w14:textId="77777777" w:rsidR="00981149" w:rsidRPr="002F5EF6" w:rsidRDefault="00981149" w:rsidP="00981149">
            <w:pPr>
              <w:rPr>
                <w:rFonts w:cs="Calibri"/>
                <w:b/>
                <w:lang w:val="sr-Cyrl-CS"/>
              </w:rPr>
            </w:pPr>
            <w:r w:rsidRPr="002F5EF6">
              <w:rPr>
                <w:rFonts w:cs="Calibri"/>
                <w:b/>
                <w:lang w:val="sr-Cyrl-CS"/>
              </w:rPr>
              <w:t xml:space="preserve">Ostala pravna lica </w:t>
            </w:r>
            <w:r w:rsidRPr="002F5EF6">
              <w:rPr>
                <w:rFonts w:cs="Calibri"/>
                <w:b/>
              </w:rPr>
              <w:br/>
            </w:r>
            <w:r w:rsidRPr="002F5EF6">
              <w:rPr>
                <w:rFonts w:cs="Calibri"/>
                <w:b/>
                <w:lang w:val="sr-Cyrl-CS"/>
              </w:rPr>
              <w:t xml:space="preserve">Fizička lica                                      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17D589D1" w14:textId="77777777" w:rsidR="00981149" w:rsidRPr="002F5EF6" w:rsidRDefault="00981149" w:rsidP="00981149">
            <w:pPr>
              <w:jc w:val="right"/>
              <w:rPr>
                <w:rFonts w:cs="Calibri"/>
                <w:szCs w:val="26"/>
              </w:rPr>
            </w:pPr>
            <w:r w:rsidRPr="002F5EF6">
              <w:rPr>
                <w:rFonts w:cs="Calibri"/>
                <w:szCs w:val="26"/>
                <w:lang w:val="sr-Cyrl-CS"/>
              </w:rPr>
              <w:t>67.902</w:t>
            </w:r>
          </w:p>
          <w:p w14:paraId="7614C993" w14:textId="77777777" w:rsidR="00981149" w:rsidRPr="002F5EF6" w:rsidRDefault="00981149" w:rsidP="00981149">
            <w:pPr>
              <w:jc w:val="right"/>
              <w:rPr>
                <w:rFonts w:cs="Calibri"/>
                <w:szCs w:val="26"/>
              </w:rPr>
            </w:pPr>
            <w:r w:rsidRPr="002F5EF6">
              <w:rPr>
                <w:rFonts w:cs="Calibri"/>
                <w:szCs w:val="26"/>
              </w:rPr>
              <w:t xml:space="preserve">            </w:t>
            </w:r>
            <w:r w:rsidR="00835FC4">
              <w:rPr>
                <w:rFonts w:cs="Calibri"/>
                <w:szCs w:val="26"/>
              </w:rPr>
              <w:t>54.504</w:t>
            </w:r>
          </w:p>
          <w:p w14:paraId="16860484" w14:textId="135E3AC0" w:rsidR="00981149" w:rsidRPr="002F5EF6" w:rsidRDefault="00981149" w:rsidP="00981149">
            <w:pPr>
              <w:jc w:val="right"/>
              <w:rPr>
                <w:rFonts w:cs="Calibri"/>
                <w:lang w:val="en-US"/>
              </w:rPr>
            </w:pPr>
            <w:r w:rsidRPr="002F5EF6">
              <w:rPr>
                <w:rFonts w:cs="Calibri"/>
                <w:szCs w:val="26"/>
                <w:lang w:val="en-US"/>
              </w:rPr>
              <w:t>63</w:t>
            </w:r>
            <w:r w:rsidR="005F6D4F">
              <w:rPr>
                <w:rFonts w:cs="Calibri"/>
                <w:szCs w:val="26"/>
                <w:lang w:val="en-US"/>
              </w:rPr>
              <w:t>9</w:t>
            </w:r>
            <w:r w:rsidRPr="002F5EF6">
              <w:rPr>
                <w:rFonts w:cs="Calibri"/>
                <w:szCs w:val="26"/>
                <w:lang w:val="sr-Cyrl-CS"/>
              </w:rPr>
              <w:t>.</w:t>
            </w:r>
            <w:r w:rsidRPr="002F5EF6">
              <w:rPr>
                <w:rFonts w:cs="Calibri"/>
                <w:szCs w:val="26"/>
              </w:rPr>
              <w:t>1</w:t>
            </w:r>
            <w:r w:rsidR="005F6D4F">
              <w:rPr>
                <w:rFonts w:cs="Calibri"/>
                <w:szCs w:val="26"/>
              </w:rPr>
              <w:t>48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pct20" w:color="00FF00" w:fill="FFFFFF"/>
          </w:tcPr>
          <w:p w14:paraId="2E67F606" w14:textId="77777777" w:rsidR="00981149" w:rsidRPr="002F5EF6" w:rsidRDefault="00981149" w:rsidP="00981149">
            <w:pPr>
              <w:jc w:val="right"/>
              <w:rPr>
                <w:rFonts w:cs="Calibri"/>
                <w:szCs w:val="26"/>
                <w:lang w:val="sr-Cyrl-CS"/>
              </w:rPr>
            </w:pPr>
            <w:r w:rsidRPr="002F5EF6">
              <w:rPr>
                <w:rFonts w:cs="Calibri"/>
                <w:szCs w:val="26"/>
                <w:lang w:val="sr-Cyrl-CS"/>
              </w:rPr>
              <w:t>4.4691</w:t>
            </w:r>
          </w:p>
          <w:p w14:paraId="65561540" w14:textId="77777777" w:rsidR="00981149" w:rsidRPr="002F5EF6" w:rsidRDefault="00981149" w:rsidP="00981149">
            <w:pPr>
              <w:jc w:val="right"/>
              <w:rPr>
                <w:rFonts w:cs="Calibri"/>
                <w:szCs w:val="26"/>
              </w:rPr>
            </w:pPr>
            <w:r w:rsidRPr="002F5EF6">
              <w:rPr>
                <w:rFonts w:cs="Calibri"/>
                <w:szCs w:val="26"/>
              </w:rPr>
              <w:t>3</w:t>
            </w:r>
            <w:r w:rsidRPr="002F5EF6">
              <w:rPr>
                <w:rFonts w:cs="Calibri"/>
                <w:szCs w:val="26"/>
                <w:lang w:val="sr-Cyrl-CS"/>
              </w:rPr>
              <w:t>.</w:t>
            </w:r>
            <w:r w:rsidR="00835FC4">
              <w:rPr>
                <w:rFonts w:cs="Calibri"/>
                <w:szCs w:val="26"/>
              </w:rPr>
              <w:t>5873</w:t>
            </w:r>
          </w:p>
          <w:p w14:paraId="327A269F" w14:textId="5D6A9EE7" w:rsidR="00981149" w:rsidRPr="005F6D4F" w:rsidRDefault="00981149" w:rsidP="00981149">
            <w:pPr>
              <w:jc w:val="right"/>
              <w:rPr>
                <w:rFonts w:cs="Calibri"/>
                <w:lang w:val="en-US"/>
              </w:rPr>
            </w:pPr>
            <w:r w:rsidRPr="002F5EF6">
              <w:rPr>
                <w:rFonts w:cs="Calibri"/>
                <w:szCs w:val="26"/>
                <w:lang w:val="sr-Cyrl-CS"/>
              </w:rPr>
              <w:t>4</w:t>
            </w:r>
            <w:r w:rsidR="005F6D4F">
              <w:rPr>
                <w:rFonts w:cs="Calibri"/>
                <w:szCs w:val="26"/>
                <w:lang w:val="en-US"/>
              </w:rPr>
              <w:t>2</w:t>
            </w:r>
            <w:r w:rsidRPr="002F5EF6">
              <w:rPr>
                <w:rFonts w:cs="Calibri"/>
                <w:szCs w:val="26"/>
                <w:lang w:val="sr-Cyrl-CS"/>
              </w:rPr>
              <w:t>.</w:t>
            </w:r>
            <w:r w:rsidR="005F6D4F">
              <w:rPr>
                <w:rFonts w:cs="Calibri"/>
                <w:szCs w:val="26"/>
                <w:lang w:val="en-US"/>
              </w:rPr>
              <w:t>0664</w:t>
            </w:r>
          </w:p>
        </w:tc>
      </w:tr>
      <w:tr w:rsidR="00981149" w:rsidRPr="002F5EF6" w14:paraId="5DBD34A9" w14:textId="77777777" w:rsidTr="00981149">
        <w:trPr>
          <w:trHeight w:val="850"/>
          <w:jc w:val="center"/>
        </w:trPr>
        <w:tc>
          <w:tcPr>
            <w:tcW w:w="4684" w:type="dxa"/>
            <w:tcBorders>
              <w:top w:val="single" w:sz="6" w:space="0" w:color="000000"/>
              <w:left w:val="nil"/>
              <w:bottom w:val="single" w:sz="12" w:space="0" w:color="808080"/>
              <w:right w:val="nil"/>
            </w:tcBorders>
          </w:tcPr>
          <w:p w14:paraId="108E11FA" w14:textId="262E6662" w:rsidR="00981149" w:rsidRPr="002F5EF6" w:rsidRDefault="005F6D4F" w:rsidP="00981149">
            <w:pPr>
              <w:spacing w:line="480" w:lineRule="auto"/>
              <w:rPr>
                <w:rFonts w:cs="Calibri"/>
                <w:b/>
                <w:bCs/>
                <w:i/>
              </w:rPr>
            </w:pPr>
            <w:r>
              <w:rPr>
                <w:rFonts w:cs="Calibri"/>
                <w:b/>
                <w:bCs/>
                <w:i/>
              </w:rPr>
              <w:t>UKUPNO</w:t>
            </w:r>
          </w:p>
        </w:tc>
        <w:tc>
          <w:tcPr>
            <w:tcW w:w="2072" w:type="dxa"/>
            <w:tcBorders>
              <w:top w:val="single" w:sz="6" w:space="0" w:color="000000"/>
              <w:left w:val="nil"/>
              <w:bottom w:val="single" w:sz="12" w:space="0" w:color="808080"/>
              <w:right w:val="nil"/>
            </w:tcBorders>
          </w:tcPr>
          <w:p w14:paraId="3554659C" w14:textId="77777777" w:rsidR="00981149" w:rsidRPr="002F5EF6" w:rsidRDefault="00981149" w:rsidP="00981149">
            <w:pPr>
              <w:spacing w:line="480" w:lineRule="auto"/>
              <w:jc w:val="right"/>
              <w:rPr>
                <w:rFonts w:cs="Calibri"/>
                <w:b/>
                <w:bCs/>
                <w:i/>
                <w:iCs/>
              </w:rPr>
            </w:pPr>
            <w:r w:rsidRPr="002F5EF6">
              <w:rPr>
                <w:rFonts w:cs="Calibri"/>
                <w:b/>
                <w:bCs/>
                <w:i/>
                <w:iCs/>
              </w:rPr>
              <w:t>1.519.379</w:t>
            </w:r>
          </w:p>
        </w:tc>
        <w:tc>
          <w:tcPr>
            <w:tcW w:w="1782" w:type="dxa"/>
            <w:tcBorders>
              <w:top w:val="single" w:sz="6" w:space="0" w:color="000000"/>
              <w:left w:val="nil"/>
              <w:bottom w:val="single" w:sz="12" w:space="0" w:color="808080"/>
              <w:right w:val="nil"/>
            </w:tcBorders>
          </w:tcPr>
          <w:p w14:paraId="01CAD796" w14:textId="77777777" w:rsidR="00981149" w:rsidRPr="002F5EF6" w:rsidRDefault="00981149" w:rsidP="00981149">
            <w:pPr>
              <w:spacing w:line="480" w:lineRule="auto"/>
              <w:jc w:val="right"/>
              <w:rPr>
                <w:rFonts w:cs="Calibri"/>
                <w:b/>
                <w:bCs/>
                <w:i/>
                <w:iCs/>
              </w:rPr>
            </w:pPr>
            <w:r w:rsidRPr="002F5EF6">
              <w:rPr>
                <w:rFonts w:cs="Calibri"/>
                <w:b/>
                <w:bCs/>
                <w:i/>
                <w:iCs/>
              </w:rPr>
              <w:t>100.0000</w:t>
            </w:r>
          </w:p>
        </w:tc>
      </w:tr>
    </w:tbl>
    <w:p w14:paraId="3E9A26D1" w14:textId="77777777" w:rsidR="00C71D37" w:rsidRPr="002F5EF6" w:rsidRDefault="00C71D37" w:rsidP="00862D4D">
      <w:pPr>
        <w:jc w:val="both"/>
        <w:rPr>
          <w:lang w:val="en-US"/>
        </w:rPr>
      </w:pPr>
    </w:p>
    <w:p w14:paraId="3ACFEE3A" w14:textId="77777777" w:rsidR="00862D4D" w:rsidRPr="002F5EF6" w:rsidRDefault="00862D4D" w:rsidP="00862D4D">
      <w:pPr>
        <w:jc w:val="both"/>
        <w:rPr>
          <w:lang w:val="en-US"/>
        </w:rPr>
      </w:pPr>
      <w:proofErr w:type="spellStart"/>
      <w:r w:rsidRPr="002F5EF6">
        <w:rPr>
          <w:lang w:val="en-US"/>
        </w:rPr>
        <w:t>Osnovna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djelatnost</w:t>
      </w:r>
      <w:proofErr w:type="spellEnd"/>
      <w:r w:rsidRPr="002F5EF6">
        <w:rPr>
          <w:lang w:val="en-US"/>
        </w:rPr>
        <w:t xml:space="preserve"> </w:t>
      </w:r>
      <w:proofErr w:type="spellStart"/>
      <w:r w:rsidRPr="002F5EF6">
        <w:rPr>
          <w:lang w:val="en-US"/>
        </w:rPr>
        <w:t>Društva</w:t>
      </w:r>
      <w:proofErr w:type="spellEnd"/>
      <w:r w:rsidRPr="002F5EF6">
        <w:rPr>
          <w:lang w:val="en-US"/>
        </w:rPr>
        <w:t xml:space="preserve"> je </w:t>
      </w:r>
      <w:proofErr w:type="spellStart"/>
      <w:r w:rsidRPr="002F5EF6">
        <w:rPr>
          <w:lang w:val="en-US"/>
        </w:rPr>
        <w:t>djelatnost</w:t>
      </w:r>
      <w:proofErr w:type="spellEnd"/>
      <w:r w:rsidRPr="002F5EF6">
        <w:rPr>
          <w:lang w:val="en-US"/>
        </w:rPr>
        <w:t xml:space="preserve"> M</w:t>
      </w:r>
      <w:r w:rsidR="00B936BC" w:rsidRPr="002F5EF6">
        <w:rPr>
          <w:lang w:val="en-US"/>
        </w:rPr>
        <w:t xml:space="preserve">arine i </w:t>
      </w:r>
      <w:proofErr w:type="spellStart"/>
      <w:r w:rsidR="00B936BC" w:rsidRPr="002F5EF6">
        <w:rPr>
          <w:lang w:val="en-US"/>
        </w:rPr>
        <w:t>pratećih</w:t>
      </w:r>
      <w:proofErr w:type="spellEnd"/>
      <w:r w:rsidR="00B936BC" w:rsidRPr="002F5EF6">
        <w:rPr>
          <w:lang w:val="en-US"/>
        </w:rPr>
        <w:t xml:space="preserve"> </w:t>
      </w:r>
      <w:proofErr w:type="spellStart"/>
      <w:r w:rsidR="00B936BC" w:rsidRPr="002F5EF6">
        <w:rPr>
          <w:lang w:val="en-US"/>
        </w:rPr>
        <w:t>usluga</w:t>
      </w:r>
      <w:proofErr w:type="spellEnd"/>
      <w:r w:rsidR="00B936BC" w:rsidRPr="002F5EF6">
        <w:rPr>
          <w:lang w:val="en-US"/>
        </w:rPr>
        <w:t xml:space="preserve"> Marine</w:t>
      </w:r>
    </w:p>
    <w:p w14:paraId="55F2F9CA" w14:textId="77777777" w:rsidR="000B2D68" w:rsidRPr="002F5EF6" w:rsidRDefault="000B2D68" w:rsidP="000B2D68"/>
    <w:p w14:paraId="022AA83F" w14:textId="29E69AB3" w:rsidR="00835FC4" w:rsidRPr="00835FC4" w:rsidRDefault="00835FC4" w:rsidP="00835FC4">
      <w:pPr>
        <w:keepNext/>
        <w:keepLines/>
        <w:spacing w:before="200"/>
        <w:outlineLvl w:val="1"/>
        <w:rPr>
          <w:rFonts w:ascii="Cambria" w:hAnsi="Cambria"/>
          <w:b/>
          <w:bCs/>
          <w:sz w:val="26"/>
          <w:szCs w:val="26"/>
          <w:lang w:val="sr-Latn-ME" w:eastAsia="en-US"/>
        </w:rPr>
      </w:pPr>
      <w:bookmarkStart w:id="0" w:name="_Toc130814095"/>
      <w:r w:rsidRPr="00835FC4">
        <w:rPr>
          <w:rFonts w:ascii="Cambria" w:hAnsi="Cambria"/>
          <w:b/>
          <w:bCs/>
          <w:sz w:val="26"/>
          <w:szCs w:val="26"/>
          <w:lang w:val="sr-Latn-ME" w:eastAsia="en-US"/>
        </w:rPr>
        <w:lastRenderedPageBreak/>
        <w:t>Analiza strukture bilansa stanja i bilansa uspjeha</w:t>
      </w:r>
      <w:bookmarkEnd w:id="0"/>
    </w:p>
    <w:p w14:paraId="39851D27" w14:textId="77777777" w:rsidR="00835FC4" w:rsidRPr="00835FC4" w:rsidRDefault="00835FC4" w:rsidP="00835FC4">
      <w:pPr>
        <w:rPr>
          <w:rFonts w:ascii="Calibri" w:eastAsia="Calibri" w:hAnsi="Calibri"/>
          <w:sz w:val="22"/>
          <w:szCs w:val="22"/>
          <w:lang w:val="sr-Latn-ME" w:eastAsia="en-US"/>
        </w:rPr>
      </w:pPr>
    </w:p>
    <w:p w14:paraId="42BC37B6" w14:textId="77777777" w:rsidR="00835FC4" w:rsidRPr="00835FC4" w:rsidRDefault="00835FC4" w:rsidP="00835FC4">
      <w:pPr>
        <w:spacing w:after="200"/>
        <w:jc w:val="both"/>
        <w:rPr>
          <w:rFonts w:eastAsia="Calibri"/>
          <w:lang w:val="sr-Latn-ME" w:eastAsia="en-US"/>
        </w:rPr>
      </w:pPr>
      <w:r w:rsidRPr="00835FC4">
        <w:rPr>
          <w:rFonts w:eastAsia="Calibri"/>
          <w:lang w:val="sr-Latn-ME" w:eastAsia="en-US"/>
        </w:rPr>
        <w:t>Analiza strukture bilansa stanja predstavlja tzv. Vertikalnu analizu. Njen osnovni cilj je da ocijeni strukturu aktive u pogledu adekvatnosti sredstava sa kojima raspolaže Društvo radi ostvarenja zadataka kojima ostvaruje ciljeve finansijske i poslovne politike. Analiza pasive treba da pruži informaciju o adekvanosti i raspoloživosti izvora finansiranja.</w:t>
      </w:r>
    </w:p>
    <w:p w14:paraId="49B22A17" w14:textId="77777777" w:rsidR="00835FC4" w:rsidRPr="00835FC4" w:rsidRDefault="00835FC4" w:rsidP="00835FC4">
      <w:pPr>
        <w:rPr>
          <w:rFonts w:eastAsia="Calibri"/>
          <w:lang w:val="sr-Latn-ME" w:eastAsia="en-US"/>
        </w:rPr>
      </w:pPr>
      <w:r w:rsidRPr="00835FC4">
        <w:rPr>
          <w:rFonts w:eastAsia="Calibri"/>
          <w:lang w:val="sr-Latn-ME" w:eastAsia="en-US"/>
        </w:rPr>
        <w:t>Bilans stanja AD „Marina Bar“ na dan 31.12.2022. godine dat je sledećom tabelom:</w:t>
      </w:r>
    </w:p>
    <w:p w14:paraId="5305A08D" w14:textId="77777777" w:rsidR="00835FC4" w:rsidRPr="00835FC4" w:rsidRDefault="00835FC4" w:rsidP="00835FC4">
      <w:pPr>
        <w:rPr>
          <w:rFonts w:eastAsia="Calibri"/>
          <w:lang w:val="sr-Latn-ME" w:eastAsia="en-US"/>
        </w:rPr>
      </w:pPr>
    </w:p>
    <w:p w14:paraId="19ED2627" w14:textId="77777777" w:rsidR="00835FC4" w:rsidRPr="00835FC4" w:rsidRDefault="00835FC4" w:rsidP="00835FC4">
      <w:pPr>
        <w:rPr>
          <w:rFonts w:eastAsia="Calibri"/>
          <w:lang w:val="sr-Latn-ME" w:eastAsia="en-US"/>
        </w:rPr>
      </w:pPr>
      <w:r w:rsidRPr="00835FC4">
        <w:rPr>
          <w:rFonts w:eastAsia="Calibri"/>
          <w:lang w:val="sr-Latn-ME" w:eastAsia="en-US"/>
        </w:rPr>
        <w:t>Tabela br. 2: Bilans stanja na dan 31.12.2022. godine.</w:t>
      </w:r>
    </w:p>
    <w:p w14:paraId="39DD7358" w14:textId="77777777" w:rsidR="00835FC4" w:rsidRPr="00835FC4" w:rsidRDefault="00835FC4" w:rsidP="00835FC4">
      <w:pPr>
        <w:rPr>
          <w:rFonts w:eastAsia="Calibri"/>
          <w:lang w:val="sr-Latn-ME"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811"/>
        <w:gridCol w:w="937"/>
        <w:gridCol w:w="1902"/>
        <w:gridCol w:w="1843"/>
      </w:tblGrid>
      <w:tr w:rsidR="00835FC4" w:rsidRPr="00835FC4" w14:paraId="4DBC70F8" w14:textId="77777777" w:rsidTr="0045732B">
        <w:trPr>
          <w:trHeight w:val="395"/>
        </w:trPr>
        <w:tc>
          <w:tcPr>
            <w:tcW w:w="4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ED44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POZICIJA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A0E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Redni broj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C7595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Iznos</w:t>
            </w:r>
          </w:p>
        </w:tc>
      </w:tr>
      <w:tr w:rsidR="00835FC4" w:rsidRPr="00835FC4" w14:paraId="6A46EB54" w14:textId="77777777" w:rsidTr="00835FC4">
        <w:trPr>
          <w:trHeight w:val="509"/>
        </w:trPr>
        <w:tc>
          <w:tcPr>
            <w:tcW w:w="4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6C3D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D30E1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FF75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Tekuća </w:t>
            </w:r>
          </w:p>
          <w:p w14:paraId="6650E24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2022</w:t>
            </w: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. godina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04B80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Prethodna</w:t>
            </w:r>
          </w:p>
          <w:p w14:paraId="7815756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2021</w:t>
            </w: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. godina</w:t>
            </w:r>
          </w:p>
        </w:tc>
      </w:tr>
      <w:tr w:rsidR="00835FC4" w:rsidRPr="00835FC4" w14:paraId="5719D086" w14:textId="77777777" w:rsidTr="0045732B">
        <w:trPr>
          <w:trHeight w:val="464"/>
        </w:trPr>
        <w:tc>
          <w:tcPr>
            <w:tcW w:w="4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EE4C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BC2B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AD70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28FA5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65C2C351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4617F9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AKTIVA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7B67C42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 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56DDDEC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8B7FF1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6669026D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BCBD4B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A. NEUPLAĆENI UPISANI KAPITAL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5AC459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001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F6E59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6D3622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73C024BB" w14:textId="77777777" w:rsidTr="00835FC4">
        <w:trPr>
          <w:trHeight w:val="255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8CCE4"/>
            <w:vAlign w:val="center"/>
            <w:hideMark/>
          </w:tcPr>
          <w:p w14:paraId="658EF96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B. STALNA IMOVINA 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90283D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002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087A086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10.225.896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E2605F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10.100.867</w:t>
            </w:r>
          </w:p>
        </w:tc>
      </w:tr>
      <w:tr w:rsidR="00835FC4" w:rsidRPr="00835FC4" w14:paraId="047E41D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/>
            <w:vAlign w:val="center"/>
            <w:hideMark/>
          </w:tcPr>
          <w:p w14:paraId="2D4DFCC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(003+004+009)</w:t>
            </w: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3E6B52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4C0A41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D63B0B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DDF7EFC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3F7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I. NEMATERIJALNA ULAGANJA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0C0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003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15B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485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-</w:t>
            </w:r>
          </w:p>
        </w:tc>
      </w:tr>
      <w:tr w:rsidR="00835FC4" w:rsidRPr="00835FC4" w14:paraId="42B4475A" w14:textId="77777777" w:rsidTr="00835FC4">
        <w:trPr>
          <w:trHeight w:val="76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5EA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 NEKRETNINE,POSTROJENJA,OPREMA</w:t>
            </w: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br/>
              <w:t xml:space="preserve">I BIOLOŠKA SREDSTVA                        </w:t>
            </w: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br/>
              <w:t xml:space="preserve">(009+010+011+015)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86C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008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9D7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10.225.896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C7C3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10.100.867</w:t>
            </w:r>
          </w:p>
        </w:tc>
      </w:tr>
      <w:tr w:rsidR="00835FC4" w:rsidRPr="00835FC4" w14:paraId="265C94F9" w14:textId="77777777" w:rsidTr="00835FC4">
        <w:trPr>
          <w:trHeight w:val="76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146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Zemljište i objekti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64D1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009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7A39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1.008.928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17C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1.105.728</w:t>
            </w:r>
          </w:p>
        </w:tc>
      </w:tr>
      <w:tr w:rsidR="00835FC4" w:rsidRPr="00835FC4" w14:paraId="4D14455F" w14:textId="77777777" w:rsidTr="00835FC4">
        <w:trPr>
          <w:trHeight w:val="76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E03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Postrojenja i oprema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439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FF1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256.601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5CF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261.794</w:t>
            </w:r>
          </w:p>
        </w:tc>
      </w:tr>
      <w:tr w:rsidR="00835FC4" w:rsidRPr="00835FC4" w14:paraId="5C08A67B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3EF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 Ostala ugrađena oprema, alati i oprema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F0A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301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003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0446AFA8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AEC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Avansi za nekretnine, postrojenja, opremu i biološka sredstva i nekretnine, postrojenja, opremu i biološka sredstva u pripremi.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A7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AEA8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8.739.976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5DE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8.733.345</w:t>
            </w:r>
          </w:p>
        </w:tc>
      </w:tr>
      <w:tr w:rsidR="00835FC4" w:rsidRPr="00835FC4" w14:paraId="3F032E24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64B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III DUGOROČNI FINANSIJSKI PLASMANI (017 do 023)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CD6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BB7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5531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</w:tr>
      <w:tr w:rsidR="00835FC4" w:rsidRPr="00835FC4" w14:paraId="0EF69180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DFC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Učešća u kapitalu zavisnih pravnih lica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118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B33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430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1F94356F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92F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Dugoročni krediti matičnom i zavisnim pravnim licima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37A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4D5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F13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38670438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A47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lastRenderedPageBreak/>
              <w:t>3. Učešća u kapitalu kod pravnih lica(sem zavisnih pravnih lica)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309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019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94E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5A8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23F1C49D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ADD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Dugoročni krediti pravnim licima kod kojih postoji učešće u kapitalu(sem zavisnih pravnih lica)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CE3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B291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42D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969ED1D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8FB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5. Učešća u kapitalu koja se vrijednuju metodom učešća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CFF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464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85F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2AFDE940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3FD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 Dugoročna finansijska ulaganja(dati krediti i hartije od vrijednosti)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C77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E81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B753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25DF8B5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FD5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7. Ostali dugoročni finansijski plasmani i potraživanja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ACB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3600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3F2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4C70310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A1B0D2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C. ODLOŽENA PORESKA SREDSTVA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AD52D8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F402DA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C24D79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47A80BD8" w14:textId="77777777" w:rsidTr="0045732B">
        <w:trPr>
          <w:trHeight w:val="57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715733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D. OBRTNA SREDSTVA                              </w:t>
            </w: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(026+031+039+043+044)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CF2F6F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6FF9AC6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2.371.766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8581EF2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1.926.275</w:t>
            </w:r>
          </w:p>
        </w:tc>
      </w:tr>
      <w:tr w:rsidR="00835FC4" w:rsidRPr="00835FC4" w14:paraId="2FFB6494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46D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I. ZALIHE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A89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EC4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E21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04A04367" w14:textId="77777777" w:rsidTr="00835FC4">
        <w:trPr>
          <w:trHeight w:val="76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46E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II. KRATKOROČNA POTRAŽIVANJA,                   </w:t>
            </w: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br/>
              <w:t>(021 do 024)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BEA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BEC1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227.534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A5A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266.441</w:t>
            </w:r>
          </w:p>
        </w:tc>
      </w:tr>
      <w:tr w:rsidR="00835FC4" w:rsidRPr="00835FC4" w14:paraId="4AB5A42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755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Potraživanja od kupaca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BFC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175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218.724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68B5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260.437</w:t>
            </w:r>
          </w:p>
        </w:tc>
      </w:tr>
      <w:tr w:rsidR="00835FC4" w:rsidRPr="00835FC4" w14:paraId="0A1F18A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08B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Potraživanja od matičnog i zavisnih pravnih lica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363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A3E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E3C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052BDC9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332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 Potraživanja od ostalih povezanih lica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53E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9EE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E3C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35ABCF98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011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Ostala potraživanja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BBB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B50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8.810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39D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6.004</w:t>
            </w:r>
          </w:p>
        </w:tc>
      </w:tr>
      <w:tr w:rsidR="00835FC4" w:rsidRPr="00835FC4" w14:paraId="0A8FCBF7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BAE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III KRATKOROČNI FINANSIJSKI PLASMANI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409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F246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D3C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14826844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7A5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IV GOTOVINA NA RAČUNIMA I U BLAGAJNI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B9D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043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3D7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2.144.232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D2DC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1.659.834</w:t>
            </w:r>
          </w:p>
        </w:tc>
      </w:tr>
      <w:tr w:rsidR="00835FC4" w:rsidRPr="00835FC4" w14:paraId="1D1772B4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AFE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V STALNA SREDSTVA NAMIJENJENA PRODAJI I SREDSTVA POSLOVANJA KOJE JE OBUSTAVLJENO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7EBE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044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618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32A3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2163A6E9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279834E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E. AKTIVNA VREMENSKA RAZGRANIČENJA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532C07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045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0E4555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14.428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986BF3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4.962</w:t>
            </w:r>
          </w:p>
        </w:tc>
      </w:tr>
      <w:tr w:rsidR="00835FC4" w:rsidRPr="00835FC4" w14:paraId="0C4A99B8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706F60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F. UKUPNA AKTIVA                                      </w:t>
            </w: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(001+002+024+025+045)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3118A1D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046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9066DC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12.612.090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26AE6AF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12.032.104</w:t>
            </w:r>
          </w:p>
        </w:tc>
      </w:tr>
      <w:tr w:rsidR="00835FC4" w:rsidRPr="00835FC4" w14:paraId="599C7691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4F7D15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PASIVA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52275BA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4AF446C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84CE93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7031F77C" w14:textId="77777777" w:rsidTr="00835FC4">
        <w:trPr>
          <w:trHeight w:val="520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/>
            <w:vAlign w:val="center"/>
            <w:hideMark/>
          </w:tcPr>
          <w:p w14:paraId="627D755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A. KAPITAL (102 do 116)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020C3EB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2ACEA25C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12.160.437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4377FE3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11.675.616</w:t>
            </w:r>
          </w:p>
        </w:tc>
      </w:tr>
      <w:tr w:rsidR="00835FC4" w:rsidRPr="00835FC4" w14:paraId="1C9885AD" w14:textId="77777777" w:rsidTr="00835FC4">
        <w:trPr>
          <w:trHeight w:val="255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4FF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I. OSNOVNI KAPITAL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F98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076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8.801.155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F5E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8.801.155</w:t>
            </w:r>
          </w:p>
        </w:tc>
      </w:tr>
      <w:tr w:rsidR="00835FC4" w:rsidRPr="00835FC4" w14:paraId="5E4D7192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0C0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lastRenderedPageBreak/>
              <w:t>II. NEUPLAĆENI UPISANI KAPITAL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37C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076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4ED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6FDB11D6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DFE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III. EMISIONA PREMIJA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8AE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606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E7C1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18623A5A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214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IV. REZERVE(106+107+108+109-110)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4ED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B60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313.827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3DFE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180.457</w:t>
            </w:r>
          </w:p>
        </w:tc>
      </w:tr>
      <w:tr w:rsidR="00835FC4" w:rsidRPr="00835FC4" w14:paraId="5D075A60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4B7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Zakonske rezerve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D39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47D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93.614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BF9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93.614</w:t>
            </w:r>
          </w:p>
        </w:tc>
      </w:tr>
      <w:tr w:rsidR="00835FC4" w:rsidRPr="00835FC4" w14:paraId="6F7B3900" w14:textId="77777777" w:rsidTr="00835FC4">
        <w:trPr>
          <w:trHeight w:val="333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F02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Statutarne rezerve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51B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F18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0E6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07FF0679" w14:textId="77777777" w:rsidTr="00835FC4">
        <w:trPr>
          <w:trHeight w:val="333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9FD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 Druge rezerve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F229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139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EF9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6EE51A13" w14:textId="77777777" w:rsidTr="00835FC4">
        <w:trPr>
          <w:trHeight w:val="102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F86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Pozitivne revalorizacione rezerve i nerealizovani dobici po osnovu finansijskih sredstava i drugih komponenti ostalog sveobuhvatnog rezultata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FE0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6419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220.213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6F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86.843</w:t>
            </w:r>
          </w:p>
        </w:tc>
      </w:tr>
      <w:tr w:rsidR="00835FC4" w:rsidRPr="00835FC4" w14:paraId="074CD032" w14:textId="77777777" w:rsidTr="00835FC4">
        <w:trPr>
          <w:trHeight w:val="102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3B8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5. Negativne revalorizacione rezerve i nerealizovani dobici po osnovu finansijskih sredstava i drugih komponenti ostalog sveobuhvatnog rezultata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6377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A4AB0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00AD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5298CBC5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CBD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V. NERASPOREDJENI DOBITAK ILI GUBITAK (112+113-114-115)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70A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EBC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3.045.455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BF61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2.694.004</w:t>
            </w:r>
          </w:p>
        </w:tc>
      </w:tr>
      <w:tr w:rsidR="00835FC4" w:rsidRPr="00835FC4" w14:paraId="3A35E27C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351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Neraspoređeni dobitak ranijih godina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8464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C8966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2.694.004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0112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2.397.685</w:t>
            </w:r>
          </w:p>
        </w:tc>
      </w:tr>
      <w:tr w:rsidR="00835FC4" w:rsidRPr="00835FC4" w14:paraId="14D6346A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8BC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Neraspoređeni dobitak tekuće godine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591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4BFD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337.811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77F0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296.319</w:t>
            </w:r>
          </w:p>
        </w:tc>
      </w:tr>
      <w:tr w:rsidR="00835FC4" w:rsidRPr="00835FC4" w14:paraId="3B6B310F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948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 Gubitak ranijih godina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1C7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CD0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654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16BF814C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F07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Gubitak tekuće godine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764F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401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269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2D0F2ED6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0AD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VI. UČEŠĆE KOJE NE OBEZBJEĐUJE KONTROLU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9A5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2EE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6DA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340A6405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3A8488E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B. DUGOROČNA REZERVISANJA I                     </w:t>
            </w: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DUGOROČNE OBAVEZE (118+122)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0985ED5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71EF55D5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05BCB8CE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0</w:t>
            </w:r>
          </w:p>
        </w:tc>
      </w:tr>
      <w:tr w:rsidR="00835FC4" w:rsidRPr="00835FC4" w14:paraId="01E52CEE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DB9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I. DUGOROČNA REZERVISANJA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56E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7E21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9F05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</w:tr>
      <w:tr w:rsidR="00835FC4" w:rsidRPr="00835FC4" w14:paraId="48EA9D91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5D1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II. DUGOROČNE OBAVEZE ( 123+124)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D86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D0B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1E1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4BFE7E01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A08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Dugoročni krediti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9D7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394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B70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10DD34C2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CCD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Ostale dugoročne obaveze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5F0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600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7C9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309E2E32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113DA01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C. ODLOŽENE PORESKE OBAVEZE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0432586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A7587E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29EAD29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5149C210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3F5EFC3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D. DUGOROČNI ODLOŽENI PRIHODI I PRIMLJENE DONACIJE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9FFCCB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55C409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F260990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127767E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15A6B71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E. KRATKOROČNA REZERVISANJA I </w:t>
            </w: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KRATKOROČNE OBAVEZE (128+129)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7CB51B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0E0B8BB7" w14:textId="0636252C" w:rsidR="00835FC4" w:rsidRPr="00835FC4" w:rsidRDefault="00546B33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97.520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6BFBACF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81.103</w:t>
            </w:r>
          </w:p>
        </w:tc>
      </w:tr>
      <w:tr w:rsidR="00835FC4" w:rsidRPr="00835FC4" w14:paraId="68A1B24B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95D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lastRenderedPageBreak/>
              <w:t>I KRATKOROČNA REZERVISANJA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342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639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399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26D95EDF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CFE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II KRATKOROČNE OBAVEZE (130 do 137)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610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4B7F" w14:textId="12297B59" w:rsidR="00835FC4" w:rsidRPr="00835FC4" w:rsidRDefault="00546B33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97.520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392E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81.103</w:t>
            </w:r>
          </w:p>
        </w:tc>
      </w:tr>
      <w:tr w:rsidR="00835FC4" w:rsidRPr="00835FC4" w14:paraId="3C66A220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5D9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Obaveze po osnovu kredita i zajmova od lica koja nisu kreditne institucije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35C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2D77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0DE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0</w:t>
            </w:r>
          </w:p>
        </w:tc>
      </w:tr>
      <w:tr w:rsidR="00835FC4" w:rsidRPr="00835FC4" w14:paraId="1E02FE0E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707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Obaveze po osnovu kredita od kreditnih institucija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E3C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C22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085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</w:tr>
      <w:tr w:rsidR="00835FC4" w:rsidRPr="00835FC4" w14:paraId="60C4E497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14E2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 Primljeni avansi, depoziti i kaucije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0BF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F42A0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AE92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7B45BE89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4E9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4. Obaveze prema dobavljačima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F47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56D2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7.520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64B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626</w:t>
            </w:r>
          </w:p>
        </w:tc>
      </w:tr>
      <w:tr w:rsidR="00835FC4" w:rsidRPr="00835FC4" w14:paraId="0F70B230" w14:textId="77777777" w:rsidTr="00835FC4">
        <w:trPr>
          <w:trHeight w:val="510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951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5. Obaveze po mjenicama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6EF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E5BC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20A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2215AC54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972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 Ostale obaveze iz poslovanja i ostale kratkoročne obaveze (138 do 142)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AA7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0494" w14:textId="59F9081B" w:rsidR="00835FC4" w:rsidRPr="00835FC4" w:rsidRDefault="00546B33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90.000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4C7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80.477</w:t>
            </w:r>
          </w:p>
        </w:tc>
      </w:tr>
      <w:tr w:rsidR="00835FC4" w:rsidRPr="00835FC4" w14:paraId="3CEEE93B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DB5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6.1. Ostale obaveze iz poslovanja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AE1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26A25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D35A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3.410</w:t>
            </w:r>
          </w:p>
        </w:tc>
      </w:tr>
      <w:tr w:rsidR="00835FC4" w:rsidRPr="00835FC4" w14:paraId="40AA7531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457D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6.2. Ostale kratkoročne obaveze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AA1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D5054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36.817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6D8C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38.467</w:t>
            </w:r>
          </w:p>
        </w:tc>
      </w:tr>
      <w:tr w:rsidR="00835FC4" w:rsidRPr="00835FC4" w14:paraId="2E4F1A5D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B0C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6.3. Obaveze po osnovu poreza na dodatu vrijednost i ostalih javnih prihoda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0327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140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8C5F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9.235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03B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10.421</w:t>
            </w:r>
          </w:p>
        </w:tc>
      </w:tr>
      <w:tr w:rsidR="00835FC4" w:rsidRPr="00835FC4" w14:paraId="1D43A59C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3E5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6.4. Obaveze po osnovu poreza na dobit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B62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141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A6191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40.538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AD06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28.179</w:t>
            </w:r>
          </w:p>
        </w:tc>
      </w:tr>
      <w:tr w:rsidR="00835FC4" w:rsidRPr="00835FC4" w14:paraId="62D232EA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73510C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F. PASIVNA VREMENSKA RAZGRANIČENJA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9D0E06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143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3D3EC2C3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367.773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2BC294C6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275.385</w:t>
            </w:r>
          </w:p>
        </w:tc>
      </w:tr>
      <w:tr w:rsidR="00835FC4" w:rsidRPr="00835FC4" w14:paraId="2F4735EC" w14:textId="77777777" w:rsidTr="00835FC4">
        <w:trPr>
          <w:trHeight w:val="255"/>
        </w:trPr>
        <w:tc>
          <w:tcPr>
            <w:tcW w:w="4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4F823A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E. UKUPNA PASIVA (101+117+125+126+127+143)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2E7DC0E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144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295E069B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12.612.090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73033FD" w14:textId="77777777" w:rsidR="00835FC4" w:rsidRPr="00835FC4" w:rsidRDefault="00835FC4" w:rsidP="00835FC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12.032.104</w:t>
            </w:r>
          </w:p>
        </w:tc>
      </w:tr>
    </w:tbl>
    <w:p w14:paraId="5BC70005" w14:textId="77777777" w:rsidR="00835FC4" w:rsidRPr="00835FC4" w:rsidRDefault="00835FC4" w:rsidP="00835FC4">
      <w:pPr>
        <w:spacing w:after="200" w:line="276" w:lineRule="auto"/>
        <w:rPr>
          <w:rFonts w:eastAsia="Calibri"/>
          <w:u w:val="single"/>
          <w:lang w:val="es-ES" w:eastAsia="en-US"/>
        </w:rPr>
      </w:pPr>
      <w:proofErr w:type="spellStart"/>
      <w:r w:rsidRPr="00835FC4">
        <w:rPr>
          <w:rFonts w:eastAsia="Calibri"/>
          <w:u w:val="single"/>
          <w:shd w:val="clear" w:color="auto" w:fill="DBE5F1"/>
          <w:lang w:val="es-ES" w:eastAsia="en-US"/>
        </w:rPr>
        <w:t>Komentar</w:t>
      </w:r>
      <w:proofErr w:type="spellEnd"/>
      <w:r w:rsidRPr="00835FC4">
        <w:rPr>
          <w:rFonts w:eastAsia="Calibri"/>
          <w:u w:val="single"/>
          <w:shd w:val="clear" w:color="auto" w:fill="DBE5F1"/>
          <w:lang w:val="es-ES" w:eastAsia="en-US"/>
        </w:rPr>
        <w:t xml:space="preserve"> </w:t>
      </w:r>
      <w:proofErr w:type="spellStart"/>
      <w:r w:rsidRPr="00835FC4">
        <w:rPr>
          <w:rFonts w:eastAsia="Calibri"/>
          <w:u w:val="single"/>
          <w:shd w:val="clear" w:color="auto" w:fill="DBE5F1"/>
          <w:lang w:val="es-ES" w:eastAsia="en-US"/>
        </w:rPr>
        <w:t>pojedinih</w:t>
      </w:r>
      <w:proofErr w:type="spellEnd"/>
      <w:r w:rsidRPr="00835FC4">
        <w:rPr>
          <w:rFonts w:eastAsia="Calibri"/>
          <w:u w:val="single"/>
          <w:shd w:val="clear" w:color="auto" w:fill="DBE5F1"/>
          <w:lang w:val="es-ES" w:eastAsia="en-US"/>
        </w:rPr>
        <w:t xml:space="preserve"> </w:t>
      </w:r>
      <w:proofErr w:type="spellStart"/>
      <w:r w:rsidRPr="00835FC4">
        <w:rPr>
          <w:rFonts w:eastAsia="Calibri"/>
          <w:u w:val="single"/>
          <w:shd w:val="clear" w:color="auto" w:fill="DBE5F1"/>
          <w:lang w:val="es-ES" w:eastAsia="en-US"/>
        </w:rPr>
        <w:t>pozicija</w:t>
      </w:r>
      <w:proofErr w:type="spellEnd"/>
      <w:r w:rsidRPr="00835FC4">
        <w:rPr>
          <w:rFonts w:eastAsia="Calibri"/>
          <w:u w:val="single"/>
          <w:shd w:val="clear" w:color="auto" w:fill="DBE5F1"/>
          <w:lang w:val="es-ES" w:eastAsia="en-US"/>
        </w:rPr>
        <w:t xml:space="preserve">  BILANSA STANJA na dan 31.12.2022.godine:                                                                                                                     </w:t>
      </w:r>
    </w:p>
    <w:p w14:paraId="7C5898FA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ME" w:eastAsia="en-US"/>
        </w:rPr>
      </w:pPr>
      <w:r w:rsidRPr="00835FC4">
        <w:rPr>
          <w:rFonts w:eastAsia="Calibri"/>
          <w:lang w:val="sr-Latn-ME" w:eastAsia="en-US"/>
        </w:rPr>
        <w:t xml:space="preserve">U aktivi bilansa stanja dominira učešće stalne imovine koje na kraju 2022. godine iznosi </w:t>
      </w:r>
      <w:r w:rsidRPr="00835FC4">
        <w:rPr>
          <w:rFonts w:eastAsia="Calibri"/>
          <w:b/>
          <w:lang w:val="sr-Latn-ME" w:eastAsia="en-US"/>
        </w:rPr>
        <w:t>81,08%</w:t>
      </w:r>
      <w:r w:rsidRPr="00835FC4">
        <w:rPr>
          <w:rFonts w:eastAsia="Calibri"/>
          <w:lang w:val="sr-Latn-ME" w:eastAsia="en-US"/>
        </w:rPr>
        <w:t xml:space="preserve"> i </w:t>
      </w:r>
      <w:r w:rsidRPr="00835FC4">
        <w:rPr>
          <w:rFonts w:eastAsia="Calibri"/>
          <w:b/>
          <w:lang w:val="sr-Latn-ME" w:eastAsia="en-US"/>
        </w:rPr>
        <w:t>veća</w:t>
      </w:r>
      <w:r w:rsidRPr="00835FC4">
        <w:rPr>
          <w:rFonts w:eastAsia="Calibri"/>
          <w:lang w:val="sr-Latn-ME" w:eastAsia="en-US"/>
        </w:rPr>
        <w:t xml:space="preserve"> je za 1,24</w:t>
      </w:r>
      <w:r w:rsidRPr="00835FC4">
        <w:rPr>
          <w:rFonts w:eastAsia="Calibri"/>
          <w:b/>
          <w:lang w:val="sr-Latn-ME" w:eastAsia="en-US"/>
        </w:rPr>
        <w:t>%</w:t>
      </w:r>
      <w:r w:rsidRPr="00835FC4">
        <w:rPr>
          <w:rFonts w:eastAsia="Calibri"/>
          <w:lang w:val="sr-Latn-ME" w:eastAsia="en-US"/>
        </w:rPr>
        <w:t xml:space="preserve"> u odnosu na uporedni period 2021.g., što AD „Marina“ Bar svrstava u red kapitalno intenzivnih preduzeća. S obzirom, da visoko učešće osnovnih sredtstava u strukturi imovine može da determiniše visok koeficijent poslovnog rizika menadžment Društva vodi opreznu politiku finansiranja kroz manji nivo zaduženosti kako ukupan rizik poslovanja ne bi bio značajnije multiplikovan.</w:t>
      </w:r>
    </w:p>
    <w:p w14:paraId="6DF1B4DD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ME" w:eastAsia="en-US"/>
        </w:rPr>
      </w:pPr>
      <w:r w:rsidRPr="00835FC4">
        <w:rPr>
          <w:rFonts w:eastAsia="Calibri"/>
          <w:lang w:val="sr-Latn-ME" w:eastAsia="en-US"/>
        </w:rPr>
        <w:t>Finansijska struktura pasiva pomjerena je prema sopstvenim izvorima finansiranja. Društvo ne koristi dugoročni dug te u tom pogledu ima veoma značajnu finansijsku fleksibilnost.</w:t>
      </w:r>
    </w:p>
    <w:p w14:paraId="6CB480D6" w14:textId="77777777" w:rsidR="00835FC4" w:rsidRPr="00835FC4" w:rsidRDefault="00835FC4" w:rsidP="00835FC4">
      <w:pPr>
        <w:spacing w:after="200" w:line="276" w:lineRule="auto"/>
        <w:rPr>
          <w:rFonts w:eastAsia="Calibri"/>
          <w:b/>
          <w:lang w:val="sr-Latn-CS" w:eastAsia="en-US"/>
        </w:rPr>
      </w:pPr>
      <w:r w:rsidRPr="00835FC4">
        <w:rPr>
          <w:rFonts w:eastAsia="Calibri"/>
          <w:lang w:val="sr-Latn-CS" w:eastAsia="en-US"/>
        </w:rPr>
        <w:t xml:space="preserve">Vrijednost </w:t>
      </w:r>
      <w:r w:rsidRPr="00835FC4">
        <w:rPr>
          <w:rFonts w:eastAsia="Calibri"/>
          <w:b/>
          <w:lang w:val="sr-Latn-CS" w:eastAsia="en-US"/>
        </w:rPr>
        <w:t>obrtne imovine</w:t>
      </w:r>
      <w:r w:rsidRPr="00835FC4">
        <w:rPr>
          <w:rFonts w:eastAsia="Calibri"/>
          <w:lang w:val="sr-Latn-CS" w:eastAsia="en-US"/>
        </w:rPr>
        <w:t xml:space="preserve"> je na kraju ovog izvještajnog perioda u odnosu na prethodnu godinu  </w:t>
      </w:r>
      <w:r w:rsidRPr="00835FC4">
        <w:rPr>
          <w:rFonts w:eastAsia="Calibri"/>
          <w:b/>
          <w:lang w:val="sr-Latn-CS" w:eastAsia="en-US"/>
        </w:rPr>
        <w:t>veća za 23,13%.</w:t>
      </w:r>
    </w:p>
    <w:p w14:paraId="63BF8A00" w14:textId="77777777" w:rsidR="00835FC4" w:rsidRPr="00835FC4" w:rsidRDefault="00835FC4" w:rsidP="00835FC4">
      <w:pPr>
        <w:spacing w:after="200" w:line="276" w:lineRule="auto"/>
        <w:rPr>
          <w:rFonts w:eastAsia="Calibri"/>
          <w:b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lastRenderedPageBreak/>
        <w:t>Potraživanja iz poslovnih odnosa</w:t>
      </w:r>
      <w:r w:rsidRPr="00835FC4">
        <w:rPr>
          <w:rFonts w:eastAsia="Calibri"/>
          <w:lang w:val="sr-Latn-CS" w:eastAsia="en-US"/>
        </w:rPr>
        <w:t xml:space="preserve"> čine potraživanja od kupaca u zemlji i inostranstvu i ostala kratkoročna potraživanja i ona su u odnosu na prethodnu godinu </w:t>
      </w:r>
      <w:r w:rsidRPr="00835FC4">
        <w:rPr>
          <w:rFonts w:eastAsia="Calibri"/>
          <w:b/>
          <w:lang w:val="sr-Latn-CS" w:eastAsia="en-US"/>
        </w:rPr>
        <w:t>manja za 14,60%.</w:t>
      </w:r>
    </w:p>
    <w:p w14:paraId="461E105F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Gotovina i gotovinski ekvivalenti</w:t>
      </w:r>
      <w:r w:rsidRPr="00835FC4">
        <w:rPr>
          <w:rFonts w:eastAsia="Calibri"/>
          <w:lang w:val="sr-Latn-CS" w:eastAsia="en-US"/>
        </w:rPr>
        <w:t xml:space="preserve"> obuhvataju sredstva u blagajni, sredstva na poslovnim računima i sredstva na deviznim računima, i u odnosu na prethodnu godinu su </w:t>
      </w:r>
      <w:r w:rsidRPr="00835FC4">
        <w:rPr>
          <w:rFonts w:eastAsia="Calibri"/>
          <w:b/>
          <w:lang w:val="sr-Latn-CS" w:eastAsia="en-US"/>
        </w:rPr>
        <w:t>veća za 29,18%</w:t>
      </w:r>
      <w:r w:rsidRPr="00835FC4">
        <w:rPr>
          <w:rFonts w:eastAsia="Calibri"/>
          <w:lang w:val="sr-Latn-CS" w:eastAsia="en-US"/>
        </w:rPr>
        <w:t xml:space="preserve">. </w:t>
      </w:r>
    </w:p>
    <w:p w14:paraId="0A66D558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 xml:space="preserve">Aktivna vremenska razgraničenja </w:t>
      </w:r>
      <w:r w:rsidRPr="00835FC4">
        <w:rPr>
          <w:rFonts w:eastAsia="Calibri"/>
          <w:lang w:val="sr-Latn-CS" w:eastAsia="en-US"/>
        </w:rPr>
        <w:t xml:space="preserve">su na kraju 2022. godine u odnosu na kraj 2021. </w:t>
      </w:r>
      <w:r w:rsidRPr="00835FC4">
        <w:rPr>
          <w:rFonts w:eastAsia="Calibri"/>
          <w:b/>
          <w:lang w:val="sr-Latn-CS" w:eastAsia="en-US"/>
        </w:rPr>
        <w:t>veća za 190,77%</w:t>
      </w:r>
      <w:r w:rsidRPr="00835FC4">
        <w:rPr>
          <w:rFonts w:eastAsia="Calibri"/>
          <w:lang w:val="sr-Latn-CS" w:eastAsia="en-US"/>
        </w:rPr>
        <w:t xml:space="preserve">. </w:t>
      </w:r>
    </w:p>
    <w:p w14:paraId="261359BA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Kapital</w:t>
      </w:r>
      <w:r w:rsidRPr="00835FC4">
        <w:rPr>
          <w:rFonts w:eastAsia="Calibri"/>
          <w:lang w:val="sr-Latn-CS" w:eastAsia="en-US"/>
        </w:rPr>
        <w:t xml:space="preserve"> akcionarskog društva na kraju ovog izvještajnog perioda je u odnosu na prethodnu godinu </w:t>
      </w:r>
      <w:r w:rsidRPr="00835FC4">
        <w:rPr>
          <w:rFonts w:eastAsia="Calibri"/>
          <w:b/>
          <w:lang w:val="sr-Latn-CS" w:eastAsia="en-US"/>
        </w:rPr>
        <w:t>veći za 4,15%.</w:t>
      </w:r>
      <w:r w:rsidRPr="00835FC4">
        <w:rPr>
          <w:rFonts w:eastAsia="Calibri"/>
          <w:lang w:val="sr-Latn-CS" w:eastAsia="en-US"/>
        </w:rPr>
        <w:t xml:space="preserve"> </w:t>
      </w:r>
    </w:p>
    <w:p w14:paraId="4F65F65B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lang w:val="sr-Latn-CS" w:eastAsia="en-US"/>
        </w:rPr>
        <w:t xml:space="preserve">Vrijednost </w:t>
      </w:r>
      <w:r w:rsidRPr="00835FC4">
        <w:rPr>
          <w:rFonts w:eastAsia="Calibri"/>
          <w:b/>
          <w:lang w:val="sr-Latn-CS" w:eastAsia="en-US"/>
        </w:rPr>
        <w:t>akcijskog kapitala</w:t>
      </w:r>
      <w:r w:rsidRPr="00835FC4">
        <w:rPr>
          <w:rFonts w:eastAsia="Calibri"/>
          <w:lang w:val="sr-Latn-CS" w:eastAsia="en-US"/>
        </w:rPr>
        <w:t xml:space="preserve"> u ovoj godini iznosi </w:t>
      </w:r>
      <w:r w:rsidRPr="00835FC4">
        <w:rPr>
          <w:rFonts w:eastAsia="Calibri"/>
          <w:b/>
          <w:lang w:val="sr-Latn-CS" w:eastAsia="en-US"/>
        </w:rPr>
        <w:t>8.801.155€</w:t>
      </w:r>
      <w:r w:rsidRPr="00835FC4">
        <w:rPr>
          <w:rFonts w:eastAsia="Calibri"/>
          <w:lang w:val="sr-Latn-CS" w:eastAsia="en-US"/>
        </w:rPr>
        <w:t xml:space="preserve"> i isti je kao u prethodnoj godini po već navedenoj strukturi.</w:t>
      </w:r>
    </w:p>
    <w:p w14:paraId="15A8ED55" w14:textId="77777777" w:rsidR="00835FC4" w:rsidRPr="00835FC4" w:rsidRDefault="00835FC4" w:rsidP="00835FC4">
      <w:pPr>
        <w:spacing w:after="200" w:line="276" w:lineRule="auto"/>
        <w:rPr>
          <w:rFonts w:eastAsia="Calibri"/>
          <w:lang w:val="es-ES" w:eastAsia="en-US"/>
        </w:rPr>
      </w:pPr>
      <w:r w:rsidRPr="00835FC4">
        <w:rPr>
          <w:rFonts w:eastAsia="Calibri"/>
          <w:b/>
          <w:lang w:val="sr-Latn-CS" w:eastAsia="en-US"/>
        </w:rPr>
        <w:t>Revalorizacione rezerve</w:t>
      </w:r>
      <w:r w:rsidRPr="00835FC4">
        <w:rPr>
          <w:rFonts w:eastAsia="Calibri"/>
          <w:lang w:val="sr-Latn-CS" w:eastAsia="en-US"/>
        </w:rPr>
        <w:t xml:space="preserve"> formirane su na osnovu efekta revalorizacije odnosno, po osnovu efekta izvršene procjene vrijednosti osnovnih sredstava po MRS 16 ,,Nekretnine, postrojenja i oprema”. </w:t>
      </w:r>
      <w:proofErr w:type="spellStart"/>
      <w:r w:rsidRPr="00835FC4">
        <w:rPr>
          <w:rFonts w:eastAsia="Calibri"/>
          <w:lang w:val="es-ES" w:eastAsia="en-US"/>
        </w:rPr>
        <w:t>Pozitivne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revalorizacione</w:t>
      </w:r>
      <w:proofErr w:type="spellEnd"/>
      <w:r w:rsidRPr="00835FC4">
        <w:rPr>
          <w:rFonts w:eastAsia="Calibri"/>
          <w:lang w:val="es-ES" w:eastAsia="en-US"/>
        </w:rPr>
        <w:t xml:space="preserve"> su </w:t>
      </w:r>
      <w:proofErr w:type="spellStart"/>
      <w:r w:rsidRPr="00835FC4">
        <w:rPr>
          <w:rFonts w:eastAsia="Calibri"/>
          <w:lang w:val="es-ES" w:eastAsia="en-US"/>
        </w:rPr>
        <w:t>na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veće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za</w:t>
      </w:r>
      <w:proofErr w:type="spellEnd"/>
      <w:r w:rsidRPr="00835FC4">
        <w:rPr>
          <w:rFonts w:eastAsia="Calibri"/>
          <w:lang w:val="es-ES" w:eastAsia="en-US"/>
        </w:rPr>
        <w:t xml:space="preserve"> 153,58% u </w:t>
      </w:r>
      <w:proofErr w:type="spellStart"/>
      <w:r w:rsidRPr="00835FC4">
        <w:rPr>
          <w:rFonts w:eastAsia="Calibri"/>
          <w:lang w:val="es-ES" w:eastAsia="en-US"/>
        </w:rPr>
        <w:t>odnosu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na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prethodnu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godine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imajući</w:t>
      </w:r>
      <w:proofErr w:type="spellEnd"/>
      <w:r w:rsidRPr="00835FC4">
        <w:rPr>
          <w:rFonts w:eastAsia="Calibri"/>
          <w:lang w:val="es-ES" w:eastAsia="en-US"/>
        </w:rPr>
        <w:t xml:space="preserve"> u </w:t>
      </w:r>
      <w:proofErr w:type="spellStart"/>
      <w:r w:rsidRPr="00835FC4">
        <w:rPr>
          <w:rFonts w:eastAsia="Calibri"/>
          <w:lang w:val="es-ES" w:eastAsia="en-US"/>
        </w:rPr>
        <w:t>vidu</w:t>
      </w:r>
      <w:proofErr w:type="spellEnd"/>
      <w:r w:rsidRPr="00835FC4">
        <w:rPr>
          <w:rFonts w:eastAsia="Calibri"/>
          <w:lang w:val="es-ES" w:eastAsia="en-US"/>
        </w:rPr>
        <w:t xml:space="preserve"> da je </w:t>
      </w:r>
      <w:proofErr w:type="spellStart"/>
      <w:r w:rsidRPr="00835FC4">
        <w:rPr>
          <w:rFonts w:eastAsia="Calibri"/>
          <w:lang w:val="es-ES" w:eastAsia="en-US"/>
        </w:rPr>
        <w:t>tokom</w:t>
      </w:r>
      <w:proofErr w:type="spellEnd"/>
      <w:r w:rsidRPr="00835FC4">
        <w:rPr>
          <w:rFonts w:eastAsia="Calibri"/>
          <w:lang w:val="es-ES" w:eastAsia="en-US"/>
        </w:rPr>
        <w:t xml:space="preserve"> 2022. </w:t>
      </w:r>
      <w:proofErr w:type="spellStart"/>
      <w:r w:rsidRPr="00835FC4">
        <w:rPr>
          <w:rFonts w:eastAsia="Calibri"/>
          <w:lang w:val="es-ES" w:eastAsia="en-US"/>
        </w:rPr>
        <w:t>godine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izvršena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procjena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vrijednosti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servisa</w:t>
      </w:r>
      <w:proofErr w:type="spellEnd"/>
      <w:r w:rsidRPr="00835FC4">
        <w:rPr>
          <w:rFonts w:eastAsia="Calibri"/>
          <w:lang w:val="es-ES" w:eastAsia="en-US"/>
        </w:rPr>
        <w:t xml:space="preserve"> i </w:t>
      </w:r>
      <w:proofErr w:type="spellStart"/>
      <w:r w:rsidRPr="00835FC4">
        <w:rPr>
          <w:rFonts w:eastAsia="Calibri"/>
          <w:lang w:val="es-ES" w:eastAsia="en-US"/>
        </w:rPr>
        <w:t>benzinske</w:t>
      </w:r>
      <w:proofErr w:type="spellEnd"/>
      <w:r w:rsidRPr="00835FC4">
        <w:rPr>
          <w:rFonts w:eastAsia="Calibri"/>
          <w:lang w:val="es-ES" w:eastAsia="en-US"/>
        </w:rPr>
        <w:t xml:space="preserve"> pumpe, </w:t>
      </w:r>
      <w:proofErr w:type="spellStart"/>
      <w:r w:rsidRPr="00835FC4">
        <w:rPr>
          <w:rFonts w:eastAsia="Calibri"/>
          <w:lang w:val="es-ES" w:eastAsia="en-US"/>
        </w:rPr>
        <w:t>dok</w:t>
      </w:r>
      <w:proofErr w:type="spellEnd"/>
      <w:r w:rsidRPr="00835FC4">
        <w:rPr>
          <w:rFonts w:eastAsia="Calibri"/>
          <w:lang w:val="es-ES" w:eastAsia="en-US"/>
        </w:rPr>
        <w:t xml:space="preserve"> su </w:t>
      </w:r>
      <w:proofErr w:type="spellStart"/>
      <w:r w:rsidRPr="00835FC4">
        <w:rPr>
          <w:rFonts w:eastAsia="Calibri"/>
          <w:b/>
          <w:lang w:val="es-ES" w:eastAsia="en-US"/>
        </w:rPr>
        <w:t>ostale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b/>
          <w:lang w:val="es-ES" w:eastAsia="en-US"/>
        </w:rPr>
        <w:t>rezerve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na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istom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nivou</w:t>
      </w:r>
      <w:proofErr w:type="spellEnd"/>
      <w:r w:rsidRPr="00835FC4">
        <w:rPr>
          <w:rFonts w:eastAsia="Calibri"/>
          <w:lang w:val="es-ES" w:eastAsia="en-US"/>
        </w:rPr>
        <w:t xml:space="preserve"> u </w:t>
      </w:r>
      <w:proofErr w:type="spellStart"/>
      <w:r w:rsidRPr="00835FC4">
        <w:rPr>
          <w:rFonts w:eastAsia="Calibri"/>
          <w:lang w:val="es-ES" w:eastAsia="en-US"/>
        </w:rPr>
        <w:t>iznosu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od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r w:rsidRPr="00835FC4">
        <w:rPr>
          <w:rFonts w:eastAsia="Calibri"/>
          <w:b/>
          <w:lang w:val="es-ES" w:eastAsia="en-US"/>
        </w:rPr>
        <w:t>93.614€</w:t>
      </w:r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kao</w:t>
      </w:r>
      <w:proofErr w:type="spellEnd"/>
      <w:r w:rsidRPr="00835FC4">
        <w:rPr>
          <w:rFonts w:eastAsia="Calibri"/>
          <w:lang w:val="es-ES" w:eastAsia="en-US"/>
        </w:rPr>
        <w:t xml:space="preserve"> u 2021. </w:t>
      </w:r>
      <w:proofErr w:type="spellStart"/>
      <w:r w:rsidRPr="00835FC4">
        <w:rPr>
          <w:rFonts w:eastAsia="Calibri"/>
          <w:lang w:val="es-ES" w:eastAsia="en-US"/>
        </w:rPr>
        <w:t>godini</w:t>
      </w:r>
      <w:proofErr w:type="spellEnd"/>
      <w:r w:rsidRPr="00835FC4">
        <w:rPr>
          <w:rFonts w:eastAsia="Calibri"/>
          <w:lang w:val="es-ES" w:eastAsia="en-US"/>
        </w:rPr>
        <w:t>.</w:t>
      </w:r>
    </w:p>
    <w:p w14:paraId="0CA59B6A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Nerasporedjena dobit</w:t>
      </w:r>
      <w:r w:rsidRPr="00835FC4">
        <w:rPr>
          <w:rFonts w:eastAsia="Calibri"/>
          <w:lang w:val="sr-Latn-CS" w:eastAsia="en-US"/>
        </w:rPr>
        <w:t xml:space="preserve"> je na kraju ove godine je </w:t>
      </w:r>
      <w:r w:rsidRPr="00835FC4">
        <w:rPr>
          <w:rFonts w:eastAsia="Calibri"/>
          <w:b/>
          <w:lang w:val="sr-Latn-CS" w:eastAsia="en-US"/>
        </w:rPr>
        <w:t>veća</w:t>
      </w:r>
      <w:r w:rsidRPr="00835FC4">
        <w:rPr>
          <w:rFonts w:eastAsia="Calibri"/>
          <w:lang w:val="sr-Latn-CS" w:eastAsia="en-US"/>
        </w:rPr>
        <w:t xml:space="preserve"> u odnosu na prethodnu godinu </w:t>
      </w:r>
      <w:r w:rsidRPr="00835FC4">
        <w:rPr>
          <w:rFonts w:eastAsia="Calibri"/>
          <w:b/>
          <w:lang w:val="sr-Latn-CS" w:eastAsia="en-US"/>
        </w:rPr>
        <w:t>za 12,54%</w:t>
      </w:r>
      <w:r w:rsidRPr="00835FC4">
        <w:rPr>
          <w:rFonts w:eastAsia="Calibri"/>
          <w:lang w:val="sr-Latn-CS" w:eastAsia="en-US"/>
        </w:rPr>
        <w:t xml:space="preserve"> i iznosi </w:t>
      </w:r>
      <w:r w:rsidRPr="00835FC4">
        <w:rPr>
          <w:rFonts w:eastAsia="Calibri"/>
          <w:b/>
          <w:lang w:val="sr-Latn-CS" w:eastAsia="en-US"/>
        </w:rPr>
        <w:t xml:space="preserve">3.031.815 </w:t>
      </w:r>
      <w:r w:rsidRPr="00835FC4">
        <w:rPr>
          <w:rFonts w:eastAsia="Calibri"/>
          <w:b/>
          <w:lang w:val="es-ES" w:eastAsia="en-US"/>
        </w:rPr>
        <w:t>€</w:t>
      </w:r>
      <w:r w:rsidRPr="00835FC4">
        <w:rPr>
          <w:rFonts w:eastAsia="Calibri"/>
          <w:lang w:val="sr-Latn-CS" w:eastAsia="en-US"/>
        </w:rPr>
        <w:t xml:space="preserve">. </w:t>
      </w:r>
    </w:p>
    <w:p w14:paraId="4847FA90" w14:textId="77777777" w:rsidR="00835FC4" w:rsidRPr="00835FC4" w:rsidRDefault="00835FC4" w:rsidP="00835FC4">
      <w:pPr>
        <w:spacing w:after="200" w:line="276" w:lineRule="auto"/>
        <w:rPr>
          <w:rFonts w:eastAsia="Calibri"/>
          <w:b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Dugoročnih rezervisanja i dugoročnih obaveza nema u ovom izvještajnom periodu.</w:t>
      </w:r>
    </w:p>
    <w:p w14:paraId="0C6443FA" w14:textId="51526D54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Kratkoročna rezervisanja i kratkoročne obaveze</w:t>
      </w:r>
      <w:r w:rsidRPr="00835FC4">
        <w:rPr>
          <w:rFonts w:eastAsia="Calibri"/>
          <w:lang w:val="sr-Latn-CS" w:eastAsia="en-US"/>
        </w:rPr>
        <w:t xml:space="preserve"> iz poslovanja obuhvataju kratkoročne finansijske obaveze, obaveze iz poslovanja, ostale kratkoročne obaveze i obaveze po osnovu PDV i ostalih javnih prihoda, dok od 2021. godine ne uključuju pasivna vremenska razgraničenja. Navedene obaveze umanjene za pasivna vremenska razgraničenja, u ovom izvještajnom periodu iznose </w:t>
      </w:r>
      <w:r w:rsidR="00546B33">
        <w:rPr>
          <w:rFonts w:eastAsia="Calibri"/>
          <w:b/>
          <w:lang w:val="sr-Latn-CS" w:eastAsia="en-US"/>
        </w:rPr>
        <w:t>97</w:t>
      </w:r>
      <w:r w:rsidRPr="00835FC4">
        <w:rPr>
          <w:rFonts w:eastAsia="Calibri"/>
          <w:b/>
          <w:lang w:val="sr-Latn-CS" w:eastAsia="en-US"/>
        </w:rPr>
        <w:t>.</w:t>
      </w:r>
      <w:r w:rsidR="00546B33">
        <w:rPr>
          <w:rFonts w:eastAsia="Calibri"/>
          <w:b/>
          <w:lang w:val="sr-Latn-CS" w:eastAsia="en-US"/>
        </w:rPr>
        <w:t>520</w:t>
      </w:r>
      <w:r w:rsidRPr="00835FC4">
        <w:rPr>
          <w:rFonts w:eastAsia="Calibri"/>
          <w:b/>
          <w:lang w:val="sr-Latn-CS" w:eastAsia="en-US"/>
        </w:rPr>
        <w:t>€</w:t>
      </w:r>
      <w:r w:rsidRPr="00835FC4">
        <w:rPr>
          <w:rFonts w:eastAsia="Calibri"/>
          <w:lang w:val="sr-Latn-CS" w:eastAsia="en-US"/>
        </w:rPr>
        <w:t xml:space="preserve"> i  u odnosu na prethodnu godinu ove obaveze su </w:t>
      </w:r>
      <w:r w:rsidRPr="00835FC4">
        <w:rPr>
          <w:rFonts w:eastAsia="Calibri"/>
          <w:b/>
          <w:lang w:val="sr-Latn-CS" w:eastAsia="en-US"/>
        </w:rPr>
        <w:t>veće</w:t>
      </w:r>
      <w:r w:rsidRPr="00835FC4">
        <w:rPr>
          <w:rFonts w:eastAsia="Calibri"/>
          <w:lang w:val="sr-Latn-CS" w:eastAsia="en-US"/>
        </w:rPr>
        <w:t xml:space="preserve"> </w:t>
      </w:r>
      <w:r w:rsidRPr="00835FC4">
        <w:rPr>
          <w:rFonts w:eastAsia="Calibri"/>
          <w:b/>
          <w:lang w:val="sr-Latn-CS" w:eastAsia="en-US"/>
        </w:rPr>
        <w:t>za</w:t>
      </w:r>
      <w:r w:rsidRPr="00835FC4">
        <w:rPr>
          <w:rFonts w:eastAsia="Calibri"/>
          <w:lang w:val="sr-Latn-CS" w:eastAsia="en-US"/>
        </w:rPr>
        <w:t xml:space="preserve"> </w:t>
      </w:r>
      <w:r w:rsidR="00546B33">
        <w:rPr>
          <w:rFonts w:eastAsia="Calibri"/>
          <w:b/>
          <w:lang w:val="sr-Latn-CS" w:eastAsia="en-US"/>
        </w:rPr>
        <w:t>20,2</w:t>
      </w:r>
      <w:r w:rsidRPr="00835FC4">
        <w:rPr>
          <w:rFonts w:eastAsia="Calibri"/>
          <w:b/>
          <w:lang w:val="sr-Latn-CS" w:eastAsia="en-US"/>
        </w:rPr>
        <w:t>4%</w:t>
      </w:r>
      <w:r w:rsidRPr="00835FC4">
        <w:rPr>
          <w:rFonts w:eastAsia="Calibri"/>
          <w:lang w:val="sr-Latn-CS" w:eastAsia="en-US"/>
        </w:rPr>
        <w:t>.</w:t>
      </w:r>
    </w:p>
    <w:p w14:paraId="7D90833E" w14:textId="77777777" w:rsidR="00835FC4" w:rsidRPr="00835FC4" w:rsidRDefault="00835FC4" w:rsidP="00835FC4">
      <w:pPr>
        <w:spacing w:after="200" w:line="276" w:lineRule="auto"/>
        <w:rPr>
          <w:rFonts w:eastAsia="Calibri"/>
          <w:lang w:val="sr-Latn-CS" w:eastAsia="en-US"/>
        </w:rPr>
      </w:pPr>
      <w:r w:rsidRPr="00835FC4">
        <w:rPr>
          <w:rFonts w:eastAsia="Calibri"/>
          <w:b/>
          <w:lang w:val="sr-Latn-CS" w:eastAsia="en-US"/>
        </w:rPr>
        <w:t>Obaveze prema dobavljačima</w:t>
      </w:r>
      <w:r w:rsidRPr="00835FC4">
        <w:rPr>
          <w:rFonts w:eastAsia="Calibri"/>
          <w:lang w:val="sr-Latn-CS" w:eastAsia="en-US"/>
        </w:rPr>
        <w:t xml:space="preserve"> na kraju ove poslovne godine  iznose </w:t>
      </w:r>
      <w:r w:rsidRPr="00835FC4">
        <w:rPr>
          <w:rFonts w:eastAsia="Calibri"/>
          <w:b/>
          <w:lang w:val="sr-Latn-CS" w:eastAsia="en-US"/>
        </w:rPr>
        <w:t>7.520€</w:t>
      </w:r>
      <w:r w:rsidRPr="00835FC4">
        <w:rPr>
          <w:rFonts w:eastAsia="Calibri"/>
          <w:lang w:val="sr-Latn-CS" w:eastAsia="en-US"/>
        </w:rPr>
        <w:t xml:space="preserve"> što je </w:t>
      </w:r>
      <w:r w:rsidRPr="00835FC4">
        <w:rPr>
          <w:rFonts w:eastAsia="Calibri"/>
          <w:b/>
          <w:lang w:val="sr-Latn-CS" w:eastAsia="en-US"/>
        </w:rPr>
        <w:t>više</w:t>
      </w:r>
      <w:r w:rsidRPr="00835FC4">
        <w:rPr>
          <w:rFonts w:eastAsia="Calibri"/>
          <w:lang w:val="sr-Latn-CS" w:eastAsia="en-US"/>
        </w:rPr>
        <w:t xml:space="preserve"> nego na kraju prethodne godine.</w:t>
      </w:r>
    </w:p>
    <w:p w14:paraId="2C07CEEC" w14:textId="77777777" w:rsidR="00835FC4" w:rsidRPr="00835FC4" w:rsidRDefault="00835FC4" w:rsidP="00835FC4">
      <w:pPr>
        <w:spacing w:after="200" w:line="276" w:lineRule="auto"/>
        <w:rPr>
          <w:rFonts w:eastAsia="Calibri"/>
          <w:lang w:val="es-ES" w:eastAsia="en-US"/>
        </w:rPr>
      </w:pPr>
      <w:r w:rsidRPr="00835FC4">
        <w:rPr>
          <w:rFonts w:eastAsia="Calibri"/>
          <w:b/>
          <w:lang w:val="sr-Latn-CS" w:eastAsia="en-US"/>
        </w:rPr>
        <w:t xml:space="preserve">Pasivna vremenska razgraničenja </w:t>
      </w:r>
      <w:r w:rsidRPr="00835FC4">
        <w:rPr>
          <w:rFonts w:eastAsia="Calibri"/>
          <w:lang w:val="sr-Latn-CS" w:eastAsia="en-US"/>
        </w:rPr>
        <w:t>su u</w:t>
      </w:r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odnosu</w:t>
      </w:r>
      <w:proofErr w:type="spellEnd"/>
      <w:r w:rsidRPr="00835FC4">
        <w:rPr>
          <w:rFonts w:eastAsia="Calibri"/>
          <w:lang w:val="es-ES" w:eastAsia="en-US"/>
        </w:rPr>
        <w:t xml:space="preserve"> </w:t>
      </w:r>
      <w:proofErr w:type="spellStart"/>
      <w:r w:rsidRPr="00835FC4">
        <w:rPr>
          <w:rFonts w:eastAsia="Calibri"/>
          <w:lang w:val="es-ES" w:eastAsia="en-US"/>
        </w:rPr>
        <w:t>na</w:t>
      </w:r>
      <w:proofErr w:type="spellEnd"/>
      <w:r w:rsidRPr="00835FC4">
        <w:rPr>
          <w:rFonts w:eastAsia="Calibri"/>
          <w:lang w:val="es-ES" w:eastAsia="en-US"/>
        </w:rPr>
        <w:t xml:space="preserve"> 2021-u </w:t>
      </w:r>
      <w:proofErr w:type="spellStart"/>
      <w:r w:rsidRPr="00835FC4">
        <w:rPr>
          <w:rFonts w:eastAsia="Calibri"/>
          <w:b/>
          <w:lang w:val="es-ES" w:eastAsia="en-US"/>
        </w:rPr>
        <w:t>veća</w:t>
      </w:r>
      <w:proofErr w:type="spellEnd"/>
      <w:r w:rsidRPr="00835FC4">
        <w:rPr>
          <w:rFonts w:eastAsia="Calibri"/>
          <w:b/>
          <w:lang w:val="es-ES" w:eastAsia="en-US"/>
        </w:rPr>
        <w:t xml:space="preserve"> </w:t>
      </w:r>
      <w:proofErr w:type="spellStart"/>
      <w:r w:rsidRPr="00835FC4">
        <w:rPr>
          <w:rFonts w:eastAsia="Calibri"/>
          <w:b/>
          <w:lang w:val="es-ES" w:eastAsia="en-US"/>
        </w:rPr>
        <w:t>za</w:t>
      </w:r>
      <w:proofErr w:type="spellEnd"/>
      <w:r w:rsidRPr="00835FC4">
        <w:rPr>
          <w:rFonts w:eastAsia="Calibri"/>
          <w:b/>
          <w:lang w:val="es-ES" w:eastAsia="en-US"/>
        </w:rPr>
        <w:t xml:space="preserve"> 33,55%.</w:t>
      </w:r>
      <w:r w:rsidRPr="00835FC4">
        <w:rPr>
          <w:rFonts w:eastAsia="Calibri"/>
          <w:lang w:val="es-ES" w:eastAsia="en-US"/>
        </w:rPr>
        <w:t xml:space="preserve">   </w:t>
      </w:r>
    </w:p>
    <w:p w14:paraId="4299EEB4" w14:textId="77777777" w:rsidR="00835FC4" w:rsidRPr="00835FC4" w:rsidRDefault="00835FC4" w:rsidP="00835FC4">
      <w:pPr>
        <w:spacing w:after="200" w:line="276" w:lineRule="auto"/>
        <w:rPr>
          <w:rFonts w:eastAsia="Calibri"/>
          <w:b/>
          <w:szCs w:val="22"/>
          <w:lang w:val="en-US" w:eastAsia="en-US"/>
        </w:rPr>
      </w:pPr>
      <w:proofErr w:type="spellStart"/>
      <w:r w:rsidRPr="00835FC4">
        <w:rPr>
          <w:rFonts w:eastAsia="Calibri"/>
          <w:szCs w:val="22"/>
          <w:lang w:val="en-US" w:eastAsia="en-US"/>
        </w:rPr>
        <w:t>Obaveza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po </w:t>
      </w:r>
      <w:proofErr w:type="spellStart"/>
      <w:r w:rsidRPr="00835FC4">
        <w:rPr>
          <w:rFonts w:eastAsia="Calibri"/>
          <w:szCs w:val="22"/>
          <w:lang w:val="en-US" w:eastAsia="en-US"/>
        </w:rPr>
        <w:t>osnovu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poreza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na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dobit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na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kraju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ove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godine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, </w:t>
      </w:r>
      <w:proofErr w:type="spellStart"/>
      <w:r w:rsidRPr="00835FC4">
        <w:rPr>
          <w:rFonts w:eastAsia="Calibri"/>
          <w:szCs w:val="22"/>
          <w:lang w:val="en-US" w:eastAsia="en-US"/>
        </w:rPr>
        <w:t>odnosno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na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kraju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ovog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obračunskog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perioda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iznosi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40.538€ ,</w:t>
      </w:r>
      <w:proofErr w:type="spellStart"/>
      <w:r w:rsidRPr="00835FC4">
        <w:rPr>
          <w:rFonts w:eastAsia="Calibri"/>
          <w:szCs w:val="22"/>
          <w:lang w:val="en-US" w:eastAsia="en-US"/>
        </w:rPr>
        <w:t>koliko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szCs w:val="22"/>
          <w:lang w:val="en-US" w:eastAsia="en-US"/>
        </w:rPr>
        <w:t>iznosi</w:t>
      </w:r>
      <w:proofErr w:type="spellEnd"/>
      <w:r w:rsidRPr="00835FC4">
        <w:rPr>
          <w:rFonts w:eastAsia="Calibri"/>
          <w:szCs w:val="22"/>
          <w:lang w:val="en-US" w:eastAsia="en-US"/>
        </w:rPr>
        <w:t xml:space="preserve"> i </w:t>
      </w:r>
      <w:proofErr w:type="spellStart"/>
      <w:r w:rsidRPr="00835FC4">
        <w:rPr>
          <w:rFonts w:eastAsia="Calibri"/>
          <w:b/>
          <w:szCs w:val="22"/>
          <w:lang w:val="en-US" w:eastAsia="en-US"/>
        </w:rPr>
        <w:t>poreski</w:t>
      </w:r>
      <w:proofErr w:type="spellEnd"/>
      <w:r w:rsidRPr="00835FC4">
        <w:rPr>
          <w:rFonts w:eastAsia="Calibri"/>
          <w:b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b/>
          <w:szCs w:val="22"/>
          <w:lang w:val="en-US" w:eastAsia="en-US"/>
        </w:rPr>
        <w:t>rashod</w:t>
      </w:r>
      <w:proofErr w:type="spellEnd"/>
      <w:r w:rsidRPr="00835FC4">
        <w:rPr>
          <w:rFonts w:eastAsia="Calibri"/>
          <w:b/>
          <w:szCs w:val="22"/>
          <w:lang w:val="en-US" w:eastAsia="en-US"/>
        </w:rPr>
        <w:t xml:space="preserve"> </w:t>
      </w:r>
      <w:proofErr w:type="spellStart"/>
      <w:r w:rsidRPr="00835FC4">
        <w:rPr>
          <w:rFonts w:eastAsia="Calibri"/>
          <w:b/>
          <w:szCs w:val="22"/>
          <w:lang w:val="en-US" w:eastAsia="en-US"/>
        </w:rPr>
        <w:t>perioda</w:t>
      </w:r>
      <w:proofErr w:type="spellEnd"/>
      <w:r w:rsidRPr="00835FC4">
        <w:rPr>
          <w:rFonts w:eastAsia="Calibri"/>
          <w:b/>
          <w:szCs w:val="22"/>
          <w:lang w:val="en-US" w:eastAsia="en-US"/>
        </w:rPr>
        <w:t>.</w:t>
      </w:r>
    </w:p>
    <w:p w14:paraId="3048CCA4" w14:textId="77777777" w:rsidR="00835FC4" w:rsidRPr="00835FC4" w:rsidRDefault="00835FC4" w:rsidP="00835FC4">
      <w:pPr>
        <w:spacing w:after="200" w:line="276" w:lineRule="auto"/>
        <w:rPr>
          <w:rFonts w:eastAsia="Calibri"/>
          <w:lang w:val="en-US" w:eastAsia="en-US"/>
        </w:rPr>
      </w:pPr>
      <w:proofErr w:type="spellStart"/>
      <w:r w:rsidRPr="00835FC4">
        <w:rPr>
          <w:rFonts w:eastAsia="Calibri"/>
          <w:lang w:val="en-US" w:eastAsia="en-US"/>
        </w:rPr>
        <w:t>Bilans</w:t>
      </w:r>
      <w:proofErr w:type="spellEnd"/>
      <w:r w:rsidRPr="00835FC4">
        <w:rPr>
          <w:rFonts w:eastAsia="Calibri"/>
          <w:lang w:val="en-US" w:eastAsia="en-US"/>
        </w:rPr>
        <w:t xml:space="preserve"> </w:t>
      </w:r>
      <w:proofErr w:type="spellStart"/>
      <w:r w:rsidRPr="00835FC4">
        <w:rPr>
          <w:rFonts w:eastAsia="Calibri"/>
          <w:lang w:val="en-US" w:eastAsia="en-US"/>
        </w:rPr>
        <w:t>uspjeha</w:t>
      </w:r>
      <w:proofErr w:type="spellEnd"/>
      <w:r w:rsidRPr="00835FC4">
        <w:rPr>
          <w:rFonts w:eastAsia="Calibri"/>
          <w:lang w:val="en-US" w:eastAsia="en-US"/>
        </w:rPr>
        <w:t xml:space="preserve"> AD “Marina” Bar za </w:t>
      </w:r>
      <w:proofErr w:type="spellStart"/>
      <w:r w:rsidRPr="00835FC4">
        <w:rPr>
          <w:rFonts w:eastAsia="Calibri"/>
          <w:lang w:val="en-US" w:eastAsia="en-US"/>
        </w:rPr>
        <w:t>obračunski</w:t>
      </w:r>
      <w:proofErr w:type="spellEnd"/>
      <w:r w:rsidRPr="00835FC4">
        <w:rPr>
          <w:rFonts w:eastAsia="Calibri"/>
          <w:lang w:val="en-US" w:eastAsia="en-US"/>
        </w:rPr>
        <w:t xml:space="preserve"> period </w:t>
      </w:r>
      <w:proofErr w:type="spellStart"/>
      <w:r w:rsidRPr="00835FC4">
        <w:rPr>
          <w:rFonts w:eastAsia="Calibri"/>
          <w:lang w:val="en-US" w:eastAsia="en-US"/>
        </w:rPr>
        <w:t>od</w:t>
      </w:r>
      <w:proofErr w:type="spellEnd"/>
      <w:r w:rsidRPr="00835FC4">
        <w:rPr>
          <w:rFonts w:eastAsia="Calibri"/>
          <w:lang w:val="en-US" w:eastAsia="en-US"/>
        </w:rPr>
        <w:t xml:space="preserve"> 1.1.2022. do 31.12.2022. </w:t>
      </w:r>
      <w:bookmarkStart w:id="1" w:name="_Hlk99025381"/>
      <w:proofErr w:type="spellStart"/>
      <w:r w:rsidRPr="00835FC4">
        <w:rPr>
          <w:rFonts w:eastAsia="Calibri"/>
          <w:lang w:val="en-US" w:eastAsia="en-US"/>
        </w:rPr>
        <w:t>dat</w:t>
      </w:r>
      <w:proofErr w:type="spellEnd"/>
      <w:r w:rsidRPr="00835FC4">
        <w:rPr>
          <w:rFonts w:eastAsia="Calibri"/>
          <w:lang w:val="en-US" w:eastAsia="en-US"/>
        </w:rPr>
        <w:t xml:space="preserve"> je </w:t>
      </w:r>
      <w:proofErr w:type="spellStart"/>
      <w:r w:rsidRPr="00835FC4">
        <w:rPr>
          <w:rFonts w:eastAsia="Calibri"/>
          <w:lang w:val="en-US" w:eastAsia="en-US"/>
        </w:rPr>
        <w:t>sledećom</w:t>
      </w:r>
      <w:proofErr w:type="spellEnd"/>
      <w:r w:rsidRPr="00835FC4">
        <w:rPr>
          <w:rFonts w:eastAsia="Calibri"/>
          <w:lang w:val="en-US" w:eastAsia="en-US"/>
        </w:rPr>
        <w:t xml:space="preserve"> </w:t>
      </w:r>
      <w:proofErr w:type="spellStart"/>
      <w:r w:rsidRPr="00835FC4">
        <w:rPr>
          <w:rFonts w:eastAsia="Calibri"/>
          <w:lang w:val="en-US" w:eastAsia="en-US"/>
        </w:rPr>
        <w:t>tabelom</w:t>
      </w:r>
      <w:proofErr w:type="spellEnd"/>
      <w:r w:rsidRPr="00835FC4">
        <w:rPr>
          <w:rFonts w:eastAsia="Calibri"/>
          <w:lang w:val="en-US" w:eastAsia="en-US"/>
        </w:rPr>
        <w:t>:</w:t>
      </w:r>
      <w:bookmarkEnd w:id="1"/>
    </w:p>
    <w:p w14:paraId="73DF8BF6" w14:textId="303F4FCD" w:rsidR="00835FC4" w:rsidRPr="00835FC4" w:rsidRDefault="00307992" w:rsidP="00835FC4">
      <w:pPr>
        <w:spacing w:after="200" w:line="276" w:lineRule="auto"/>
        <w:rPr>
          <w:rFonts w:eastAsia="Calibri"/>
          <w:lang w:val="en-US" w:eastAsia="en-US"/>
        </w:rPr>
      </w:pPr>
      <w:proofErr w:type="spellStart"/>
      <w:r>
        <w:rPr>
          <w:rFonts w:eastAsia="Calibri"/>
          <w:lang w:val="en-US" w:eastAsia="en-US"/>
        </w:rPr>
        <w:t>Tabela</w:t>
      </w:r>
      <w:proofErr w:type="spellEnd"/>
      <w:r>
        <w:rPr>
          <w:rFonts w:eastAsia="Calibri"/>
          <w:lang w:val="en-US" w:eastAsia="en-US"/>
        </w:rPr>
        <w:t xml:space="preserve"> br. </w:t>
      </w:r>
      <w:r w:rsidR="0045732B">
        <w:rPr>
          <w:rFonts w:eastAsia="Calibri"/>
          <w:lang w:val="en-US" w:eastAsia="en-US"/>
        </w:rPr>
        <w:t>3</w:t>
      </w:r>
      <w:r w:rsidR="00835FC4" w:rsidRPr="00835FC4">
        <w:rPr>
          <w:rFonts w:eastAsia="Calibri"/>
          <w:lang w:val="en-US" w:eastAsia="en-US"/>
        </w:rPr>
        <w:t xml:space="preserve">: </w:t>
      </w:r>
      <w:proofErr w:type="spellStart"/>
      <w:r w:rsidR="00835FC4" w:rsidRPr="00835FC4">
        <w:rPr>
          <w:rFonts w:eastAsia="Calibri"/>
          <w:lang w:val="en-US" w:eastAsia="en-US"/>
        </w:rPr>
        <w:t>Bilans</w:t>
      </w:r>
      <w:proofErr w:type="spellEnd"/>
      <w:r w:rsidR="00835FC4" w:rsidRPr="00835FC4">
        <w:rPr>
          <w:rFonts w:eastAsia="Calibri"/>
          <w:lang w:val="en-US" w:eastAsia="en-US"/>
        </w:rPr>
        <w:t xml:space="preserve"> </w:t>
      </w:r>
      <w:proofErr w:type="spellStart"/>
      <w:r w:rsidR="00835FC4" w:rsidRPr="00835FC4">
        <w:rPr>
          <w:rFonts w:eastAsia="Calibri"/>
          <w:lang w:val="en-US" w:eastAsia="en-US"/>
        </w:rPr>
        <w:t>uspjeha</w:t>
      </w:r>
      <w:proofErr w:type="spellEnd"/>
      <w:r w:rsidR="00835FC4" w:rsidRPr="00835FC4">
        <w:rPr>
          <w:rFonts w:eastAsia="Calibri"/>
          <w:lang w:val="en-US" w:eastAsia="en-US"/>
        </w:rPr>
        <w:t xml:space="preserve"> AD “Marina” Bar za period </w:t>
      </w:r>
      <w:proofErr w:type="spellStart"/>
      <w:r w:rsidR="00835FC4" w:rsidRPr="00835FC4">
        <w:rPr>
          <w:rFonts w:eastAsia="Calibri"/>
          <w:lang w:val="en-US" w:eastAsia="en-US"/>
        </w:rPr>
        <w:t>od</w:t>
      </w:r>
      <w:proofErr w:type="spellEnd"/>
      <w:r w:rsidR="00835FC4" w:rsidRPr="00835FC4">
        <w:rPr>
          <w:rFonts w:eastAsia="Calibri"/>
          <w:lang w:val="en-US" w:eastAsia="en-US"/>
        </w:rPr>
        <w:t xml:space="preserve"> 01.01.2022. do 31.12.2022.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63"/>
        <w:gridCol w:w="1102"/>
        <w:gridCol w:w="1515"/>
        <w:gridCol w:w="1418"/>
      </w:tblGrid>
      <w:tr w:rsidR="00835FC4" w:rsidRPr="00835FC4" w14:paraId="765A2699" w14:textId="77777777" w:rsidTr="00835FC4">
        <w:trPr>
          <w:trHeight w:val="180"/>
        </w:trPr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2095B2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lastRenderedPageBreak/>
              <w:t>POZICIJA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1BFA812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Redni broj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vAlign w:val="center"/>
            <w:hideMark/>
          </w:tcPr>
          <w:p w14:paraId="743A299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Iznos</w:t>
            </w:r>
          </w:p>
        </w:tc>
      </w:tr>
      <w:tr w:rsidR="00835FC4" w:rsidRPr="00835FC4" w14:paraId="2E707569" w14:textId="77777777" w:rsidTr="00835FC4">
        <w:trPr>
          <w:trHeight w:val="509"/>
        </w:trPr>
        <w:tc>
          <w:tcPr>
            <w:tcW w:w="5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B87A3F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1DA9C8E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158CB968" w14:textId="77777777" w:rsidR="00835FC4" w:rsidRPr="00835FC4" w:rsidRDefault="00835FC4" w:rsidP="00821C6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Tekuća</w:t>
            </w:r>
          </w:p>
          <w:p w14:paraId="52B197C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2022. godina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219AF8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Prethodna 2021. godina</w:t>
            </w:r>
          </w:p>
        </w:tc>
      </w:tr>
      <w:tr w:rsidR="00835FC4" w:rsidRPr="00835FC4" w14:paraId="0BE12B98" w14:textId="77777777" w:rsidTr="00821C6B">
        <w:trPr>
          <w:trHeight w:val="276"/>
        </w:trPr>
        <w:tc>
          <w:tcPr>
            <w:tcW w:w="5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B55180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A87E86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AEBE780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71CEDF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55BA709F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0F0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1. Prihodi od prodaje-neto prihod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65B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672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1.002.967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4F4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943.034</w:t>
            </w:r>
          </w:p>
        </w:tc>
      </w:tr>
      <w:tr w:rsidR="00835FC4" w:rsidRPr="00835FC4" w14:paraId="19FA6ED8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5A1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2. Promjena vrijednosti zaliha gotovih proizvoda inedovršene proizvodnje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94B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4C0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860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7BCA5B9A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261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3. Prihodi od aktiviranja učinaka i robe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C9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BBE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64D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4FF5FD07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186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4. Ostali prihodi iz poslovanja(205 do 207)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2CF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0D5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339.073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CE5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279.911</w:t>
            </w:r>
          </w:p>
        </w:tc>
      </w:tr>
      <w:tr w:rsidR="00835FC4" w:rsidRPr="00835FC4" w14:paraId="7474F085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E783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a) Ostali poslovni prihodi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4AA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EB9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281.437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9C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250.431</w:t>
            </w:r>
          </w:p>
        </w:tc>
      </w:tr>
      <w:tr w:rsidR="00835FC4" w:rsidRPr="00835FC4" w14:paraId="43EAF8AF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129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b) Ostali prihodi iz poslovanja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29A8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EFA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57.636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EBF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29.480</w:t>
            </w:r>
          </w:p>
        </w:tc>
      </w:tr>
      <w:tr w:rsidR="00835FC4" w:rsidRPr="00835FC4" w14:paraId="08924E75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33F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c) Prihodi po osnovu vrijednosnog usklađivanja imovine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D047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0CA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9BC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E837556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893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5. Troškovi poslovanja(209+210+210a)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CAF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14D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262.516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65A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228.072</w:t>
            </w:r>
          </w:p>
        </w:tc>
      </w:tr>
      <w:tr w:rsidR="00835FC4" w:rsidRPr="00835FC4" w14:paraId="6E2EDD88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2A8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a) Nabavna vrijednost prodate robe i troškovi materijala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3F0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209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D6E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40.967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151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36.697</w:t>
            </w:r>
          </w:p>
        </w:tc>
      </w:tr>
      <w:tr w:rsidR="00835FC4" w:rsidRPr="00835FC4" w14:paraId="340BA3CA" w14:textId="77777777" w:rsidTr="00835FC4">
        <w:trPr>
          <w:trHeight w:val="180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A40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b) Ostali troškovi poslovanja(rezervisanja i ostali poslovni rashodi)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FFC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26D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161.473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48B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125.524</w:t>
            </w:r>
          </w:p>
        </w:tc>
      </w:tr>
      <w:tr w:rsidR="00835FC4" w:rsidRPr="00835FC4" w14:paraId="0BE4BEAF" w14:textId="77777777" w:rsidTr="00835FC4">
        <w:trPr>
          <w:trHeight w:val="180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4F0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c) Amortizacija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A6C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210a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E9F2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60.076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F5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65.851</w:t>
            </w:r>
          </w:p>
        </w:tc>
      </w:tr>
      <w:tr w:rsidR="00835FC4" w:rsidRPr="00835FC4" w14:paraId="35105906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F6A5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6. Troškovi zarada, naknada zarada i ostali lični rashodi(212+213)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053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D5D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620.034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2C9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630.228</w:t>
            </w:r>
          </w:p>
        </w:tc>
      </w:tr>
      <w:tr w:rsidR="00835FC4" w:rsidRPr="00835FC4" w14:paraId="759110D7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0F8C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a) Neto troškovi zarada, naknada zarada i lični rashodi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5BE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8CC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458.880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ADE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394.053</w:t>
            </w:r>
          </w:p>
        </w:tc>
      </w:tr>
      <w:tr w:rsidR="00835FC4" w:rsidRPr="00835FC4" w14:paraId="589D919D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027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b) Troškovi poreza i doprinosa(214 do 216)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5A8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024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161.154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173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236.175</w:t>
            </w:r>
          </w:p>
        </w:tc>
      </w:tr>
      <w:tr w:rsidR="00835FC4" w:rsidRPr="00835FC4" w14:paraId="205DC3D7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EC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  1/Troškovi poreza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BED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4D0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34.780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B4EE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50.600</w:t>
            </w:r>
          </w:p>
        </w:tc>
      </w:tr>
      <w:tr w:rsidR="00835FC4" w:rsidRPr="00835FC4" w14:paraId="5E695ECC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C820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  2/Troškovi doprinosa za penzije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0563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8F0C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108.064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9F8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111.023</w:t>
            </w:r>
          </w:p>
        </w:tc>
      </w:tr>
      <w:tr w:rsidR="00835FC4" w:rsidRPr="00835FC4" w14:paraId="17F8706D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9BC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 xml:space="preserve">  3/Troškovi doprinosa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2780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BB5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18.310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F7E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74.552</w:t>
            </w:r>
          </w:p>
        </w:tc>
      </w:tr>
      <w:tr w:rsidR="00835FC4" w:rsidRPr="00835FC4" w14:paraId="5606829B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C3B7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7. Rashodi po osnovu vrijednosnog usklađivanja imovine(osim finansijske)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A0D3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9A04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2DC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20E16677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5C4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8. Ostali rashodi iz poslovanja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B210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240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2.432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6A8A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5.896</w:t>
            </w:r>
          </w:p>
        </w:tc>
      </w:tr>
      <w:tr w:rsidR="00835FC4" w:rsidRPr="00835FC4" w14:paraId="6D9E7B61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2249B8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I POSLOVNI REZULTAT(201+202+203+204-208-211-217-220)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516E672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377FAF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457.058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7CE4B91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358.749</w:t>
            </w:r>
          </w:p>
        </w:tc>
      </w:tr>
      <w:tr w:rsidR="00835FC4" w:rsidRPr="00835FC4" w14:paraId="51A859BB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1D2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9. Prihodi po osnovu učešća u kapitalu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C7D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9A5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DDC3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3D6DD186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373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lastRenderedPageBreak/>
              <w:t>10. Prihodi od ostalih finansijskih ulaganja i zajmova(kamate, kursne razlike i efekti ugovorene zaštite)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D5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D0B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5.981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4A2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4.481</w:t>
            </w:r>
          </w:p>
        </w:tc>
      </w:tr>
      <w:tr w:rsidR="00835FC4" w:rsidRPr="00835FC4" w14:paraId="7FD0050A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D839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11. Ostali prihodi po osnovu kamata, kursnih razlika i drugih efekata ugovorene zaštite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D4A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E61C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A44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1F87F81B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5B3F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12. Vrijednosno usklađivanje kratkoročnih finansijskih sredstava i finansijskih ulaganja koji su dio obrtne imovine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819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417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(84.686)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5FB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(38.713)</w:t>
            </w:r>
          </w:p>
        </w:tc>
      </w:tr>
      <w:tr w:rsidR="00835FC4" w:rsidRPr="00835FC4" w14:paraId="06EEAED9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F5D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13. Rashodi po osnovu kamata, kursnih razlika i drugih efekata ugovorene zaštite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A86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237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3D9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4AC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19</w:t>
            </w:r>
          </w:p>
        </w:tc>
      </w:tr>
      <w:tr w:rsidR="00835FC4" w:rsidRPr="00835FC4" w14:paraId="2C3CAD5D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DB6816B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II FINANSIJSKI REZULTAT(222+226+230+234-237)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2D8F9D6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7995F60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(78.709)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090BFED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(34.251)</w:t>
            </w:r>
          </w:p>
        </w:tc>
      </w:tr>
      <w:tr w:rsidR="00835FC4" w:rsidRPr="00835FC4" w14:paraId="41AD0963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9D28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III REZULTAT IZ REDOVNOG POSLOVANJA  </w:t>
            </w: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PRIJE OPOREZIVANJA (221+241)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CF3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2A7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378.839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89E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324.498</w:t>
            </w:r>
          </w:p>
        </w:tc>
      </w:tr>
      <w:tr w:rsidR="00835FC4" w:rsidRPr="00835FC4" w14:paraId="0F366E19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64DEEF6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IV REZULTAT PRIJE OPOREZIVANJA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16D51E99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09039526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378.349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697D83C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324.498</w:t>
            </w:r>
          </w:p>
        </w:tc>
      </w:tr>
      <w:tr w:rsidR="00835FC4" w:rsidRPr="00835FC4" w14:paraId="3BEAE02E" w14:textId="77777777" w:rsidTr="00835FC4">
        <w:trPr>
          <w:trHeight w:val="294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D04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14. Poreski rashod perioda(246+247)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C451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244E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40.538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85BF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28.179</w:t>
            </w:r>
          </w:p>
        </w:tc>
      </w:tr>
      <w:tr w:rsidR="00835FC4" w:rsidRPr="00835FC4" w14:paraId="4CB53828" w14:textId="77777777" w:rsidTr="00835FC4">
        <w:trPr>
          <w:trHeight w:val="187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1ED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1. Tekući porez na dobit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586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4A25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40.538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3D3D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28.179</w:t>
            </w:r>
          </w:p>
        </w:tc>
      </w:tr>
      <w:tr w:rsidR="00835FC4" w:rsidRPr="00835FC4" w14:paraId="2F2EE995" w14:textId="77777777" w:rsidTr="00835FC4">
        <w:trPr>
          <w:trHeight w:val="20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3F0E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2. Odloženi poreski rashodi ili prihodi perioda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E4D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BD08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CD32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835FC4" w:rsidRPr="00835FC4" w14:paraId="0684BF9E" w14:textId="77777777" w:rsidTr="00835FC4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BAB1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15. Dobitak ili gubitak nakon oporezivanja(244-245)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EFA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248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4504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337.811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98C0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296.319</w:t>
            </w:r>
          </w:p>
        </w:tc>
      </w:tr>
      <w:tr w:rsidR="00835FC4" w:rsidRPr="00835FC4" w14:paraId="5478CDBC" w14:textId="77777777" w:rsidTr="00835FC4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DB7B6EA" w14:textId="77777777" w:rsidR="00835FC4" w:rsidRPr="00835FC4" w:rsidRDefault="00835FC4" w:rsidP="00835FC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bCs/>
                <w:sz w:val="20"/>
                <w:szCs w:val="20"/>
                <w:lang w:val="sr-Latn-ME" w:eastAsia="sr-Latn-ME"/>
              </w:rPr>
              <w:t>V NETO SVEOBUHVATNI REZULTAT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7BF0F06B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654428AA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337.811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14:paraId="02D8DBE7" w14:textId="77777777" w:rsidR="00835FC4" w:rsidRPr="00835FC4" w:rsidRDefault="00835FC4" w:rsidP="00835FC4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</w:pPr>
            <w:r w:rsidRPr="00835FC4">
              <w:rPr>
                <w:rFonts w:ascii="Arial" w:eastAsia="Calibri" w:hAnsi="Arial" w:cs="Arial"/>
                <w:b/>
                <w:sz w:val="20"/>
                <w:szCs w:val="20"/>
                <w:lang w:val="sr-Latn-ME" w:eastAsia="sr-Latn-ME"/>
              </w:rPr>
              <w:t>296.319</w:t>
            </w:r>
          </w:p>
        </w:tc>
      </w:tr>
    </w:tbl>
    <w:p w14:paraId="694FFB61" w14:textId="77777777" w:rsidR="00835FC4" w:rsidRPr="00835FC4" w:rsidRDefault="00835FC4" w:rsidP="00835FC4">
      <w:pPr>
        <w:shd w:val="clear" w:color="auto" w:fill="C6D9F1"/>
        <w:spacing w:after="200" w:line="276" w:lineRule="auto"/>
        <w:rPr>
          <w:rFonts w:eastAsia="Calibri"/>
          <w:shd w:val="clear" w:color="auto" w:fill="DBE5F1"/>
          <w:lang w:val="es-ES" w:eastAsia="en-US"/>
        </w:rPr>
      </w:pPr>
      <w:proofErr w:type="spellStart"/>
      <w:r w:rsidRPr="00835FC4">
        <w:rPr>
          <w:rFonts w:eastAsia="Calibri"/>
          <w:shd w:val="clear" w:color="auto" w:fill="C6D9F1"/>
          <w:lang w:val="es-ES" w:eastAsia="en-US"/>
        </w:rPr>
        <w:t>Komentar</w:t>
      </w:r>
      <w:proofErr w:type="spellEnd"/>
      <w:r w:rsidRPr="00835FC4">
        <w:rPr>
          <w:rFonts w:eastAsia="Calibri"/>
          <w:shd w:val="clear" w:color="auto" w:fill="C6D9F1"/>
          <w:lang w:val="es-ES" w:eastAsia="en-US"/>
        </w:rPr>
        <w:t xml:space="preserve"> </w:t>
      </w:r>
      <w:proofErr w:type="spellStart"/>
      <w:r w:rsidRPr="00835FC4">
        <w:rPr>
          <w:rFonts w:eastAsia="Calibri"/>
          <w:shd w:val="clear" w:color="auto" w:fill="C6D9F1"/>
          <w:lang w:val="es-ES" w:eastAsia="en-US"/>
        </w:rPr>
        <w:t>pojedinih</w:t>
      </w:r>
      <w:proofErr w:type="spellEnd"/>
      <w:r w:rsidRPr="00835FC4">
        <w:rPr>
          <w:rFonts w:eastAsia="Calibri"/>
          <w:shd w:val="clear" w:color="auto" w:fill="C6D9F1"/>
          <w:lang w:val="sr-Latn-CS" w:eastAsia="en-US"/>
        </w:rPr>
        <w:t xml:space="preserve"> kategorija/pozicija  BILANSA USPJEHA u 2022. godini</w:t>
      </w:r>
      <w:r w:rsidRPr="00835FC4">
        <w:rPr>
          <w:rFonts w:eastAsia="Calibri"/>
          <w:lang w:val="sr-Latn-CS" w:eastAsia="en-US"/>
        </w:rPr>
        <w:t xml:space="preserve"> u  poređenju sa 2021. godinom je sledeći:</w:t>
      </w:r>
    </w:p>
    <w:p w14:paraId="3C6BA5B6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Prihodi od prodaje usluga</w:t>
      </w:r>
      <w:r w:rsidRPr="00835FC4">
        <w:rPr>
          <w:rFonts w:eastAsia="Calibri"/>
          <w:szCs w:val="22"/>
          <w:lang w:val="sr-Latn-CS" w:eastAsia="en-US"/>
        </w:rPr>
        <w:t xml:space="preserve"> čine: prihodi po osnovu korisćenja veza marine, prihodi od servisa i u odnosu na 2021-u godinu  su u ovom izvještajnom periodu </w:t>
      </w:r>
      <w:r w:rsidRPr="00835FC4">
        <w:rPr>
          <w:rFonts w:eastAsia="Calibri"/>
          <w:b/>
          <w:szCs w:val="22"/>
          <w:lang w:val="sr-Latn-CS" w:eastAsia="en-US"/>
        </w:rPr>
        <w:t>veći za 6,36%.</w:t>
      </w:r>
      <w:r w:rsidRPr="00835FC4">
        <w:rPr>
          <w:rFonts w:eastAsia="Calibri"/>
          <w:szCs w:val="22"/>
          <w:lang w:val="sr-Latn-CS" w:eastAsia="en-US"/>
        </w:rPr>
        <w:t xml:space="preserve"> </w:t>
      </w:r>
    </w:p>
    <w:p w14:paraId="08C0F90F" w14:textId="77777777" w:rsidR="00835FC4" w:rsidRPr="00835FC4" w:rsidRDefault="00835FC4" w:rsidP="00835FC4">
      <w:pPr>
        <w:spacing w:after="200" w:line="276" w:lineRule="auto"/>
        <w:rPr>
          <w:rFonts w:eastAsia="Calibri"/>
          <w:b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Ostali prihodi iz poslovanja</w:t>
      </w:r>
      <w:r w:rsidRPr="00835FC4">
        <w:rPr>
          <w:rFonts w:eastAsia="Calibri"/>
          <w:szCs w:val="22"/>
          <w:lang w:val="sr-Latn-CS" w:eastAsia="en-US"/>
        </w:rPr>
        <w:t xml:space="preserve"> su prihodi po osnovu zakupnina i prihodi ostvareni od usluga parkinga, kao i ostali prihodi. Oni su u odnosu na prethodnu godinu </w:t>
      </w:r>
      <w:r w:rsidRPr="00835FC4">
        <w:rPr>
          <w:rFonts w:eastAsia="Calibri"/>
          <w:b/>
          <w:szCs w:val="22"/>
          <w:lang w:val="sr-Latn-CS" w:eastAsia="en-US"/>
        </w:rPr>
        <w:t>veći za 21,14%.</w:t>
      </w:r>
    </w:p>
    <w:p w14:paraId="6E1F61EE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Nabavna vrijednost prodate robe i troškovi  materijala</w:t>
      </w:r>
      <w:r w:rsidRPr="00835FC4">
        <w:rPr>
          <w:rFonts w:eastAsia="Calibri"/>
          <w:szCs w:val="22"/>
          <w:lang w:val="sr-Latn-CS" w:eastAsia="en-US"/>
        </w:rPr>
        <w:t xml:space="preserve">  su u ovoj godini za </w:t>
      </w:r>
      <w:r w:rsidRPr="00835FC4">
        <w:rPr>
          <w:rFonts w:eastAsia="Calibri"/>
          <w:b/>
          <w:szCs w:val="22"/>
          <w:lang w:val="sr-Latn-CS" w:eastAsia="en-US"/>
        </w:rPr>
        <w:t>11,64% veći</w:t>
      </w:r>
      <w:r w:rsidRPr="00835FC4">
        <w:rPr>
          <w:rFonts w:eastAsia="Calibri"/>
          <w:szCs w:val="22"/>
          <w:lang w:val="sr-Latn-CS" w:eastAsia="en-US"/>
        </w:rPr>
        <w:t xml:space="preserve"> nego što su bili u prethodnoj godini.</w:t>
      </w:r>
    </w:p>
    <w:p w14:paraId="6BF714FC" w14:textId="77777777" w:rsidR="00633077" w:rsidRDefault="00835FC4" w:rsidP="0045732B">
      <w:pPr>
        <w:spacing w:after="200" w:line="276" w:lineRule="auto"/>
        <w:jc w:val="both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Trošak amortizacije</w:t>
      </w:r>
      <w:r w:rsidRPr="00835FC4">
        <w:rPr>
          <w:rFonts w:eastAsia="Calibri"/>
          <w:szCs w:val="22"/>
          <w:lang w:val="sr-Latn-CS" w:eastAsia="en-US"/>
        </w:rPr>
        <w:t xml:space="preserve"> osnovnih sredstava</w:t>
      </w:r>
      <w:r w:rsidR="008A4B83">
        <w:rPr>
          <w:rFonts w:eastAsia="Calibri"/>
          <w:szCs w:val="22"/>
          <w:lang w:val="sr-Latn-CS" w:eastAsia="en-US"/>
        </w:rPr>
        <w:t xml:space="preserve"> se </w:t>
      </w:r>
      <w:r w:rsidRPr="00835FC4">
        <w:rPr>
          <w:rFonts w:eastAsia="Calibri"/>
          <w:szCs w:val="22"/>
          <w:lang w:val="sr-Latn-CS" w:eastAsia="en-US"/>
        </w:rPr>
        <w:t xml:space="preserve">obračunava na nabavnu vrijednost odnosno procijenjenu vrijednost umanjenu za procijenjeni iznos rezidualnog ostatka, proporcionalnom metodom primjenom stopa koje se utvrđuju na osnovu procijenjenog vijeka upotrebe osnovnog sredstva. </w:t>
      </w:r>
      <w:r w:rsidR="008A4B83">
        <w:rPr>
          <w:rFonts w:eastAsia="Calibri"/>
          <w:szCs w:val="22"/>
          <w:lang w:val="sr-Latn-CS" w:eastAsia="en-US"/>
        </w:rPr>
        <w:t xml:space="preserve">  </w:t>
      </w:r>
      <w:r w:rsidRPr="00835FC4">
        <w:rPr>
          <w:rFonts w:eastAsia="Calibri"/>
          <w:szCs w:val="22"/>
          <w:lang w:val="sr-Latn-CS" w:eastAsia="en-US"/>
        </w:rPr>
        <w:t>Amortizacija se obračunava počevši od narednog mjeseca za novonabavljena osnovna sredstva, odnosno obračunom na vrijednost osnovnih sredstava, utvrđenu krajem prethodne godine, za ostala osnovna sredstva.</w:t>
      </w:r>
    </w:p>
    <w:p w14:paraId="44FCCB1E" w14:textId="7C08782B" w:rsidR="00835FC4" w:rsidRPr="00835FC4" w:rsidRDefault="00835FC4" w:rsidP="0045732B">
      <w:pPr>
        <w:spacing w:after="200" w:line="276" w:lineRule="auto"/>
        <w:jc w:val="both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szCs w:val="22"/>
          <w:lang w:val="sr-Latn-CS" w:eastAsia="en-US"/>
        </w:rPr>
        <w:lastRenderedPageBreak/>
        <w:t xml:space="preserve"> Amortizacija je veoma važna stavka i ima neposredan uticaj na prikazivanje finansijskih rezultata. Ovaj trošak u 2022. godini je bio </w:t>
      </w:r>
      <w:r w:rsidRPr="00835FC4">
        <w:rPr>
          <w:rFonts w:eastAsia="Calibri"/>
          <w:b/>
          <w:szCs w:val="22"/>
          <w:lang w:val="sr-Latn-CS" w:eastAsia="en-US"/>
        </w:rPr>
        <w:t>manji za 8,77%</w:t>
      </w:r>
      <w:r w:rsidRPr="00835FC4">
        <w:rPr>
          <w:rFonts w:eastAsia="Calibri"/>
          <w:szCs w:val="22"/>
          <w:lang w:val="sr-Latn-CS" w:eastAsia="en-US"/>
        </w:rPr>
        <w:t>.</w:t>
      </w:r>
    </w:p>
    <w:p w14:paraId="310907DB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Ostale poslovne rashode</w:t>
      </w:r>
      <w:r w:rsidRPr="00835FC4">
        <w:rPr>
          <w:rFonts w:eastAsia="Calibri"/>
          <w:szCs w:val="22"/>
          <w:lang w:val="sr-Latn-CS" w:eastAsia="en-US"/>
        </w:rPr>
        <w:t xml:space="preserve"> čine: troškovi transportnih usluga, troškovi tekućeg održavanja,  troškovi reklame i propagande, troškovi ostalih usluga, troškovi neproizvodnih usluga (troškovi pomoći i sponzorstva, troškovi advokatskih usluga, intelektualne usluge, troškovi obezbjeđenja imovine i lica, troškovi revizije, komunalne usluge, utrošena voda, troškovi održavanja reg. CDA, troškovi održavanja programa), troškovi reprezentacije, troškovi premije osiguranja, troškovi platnog prometa, troškovi poreza (troškovi poreza na imovinu, opštinske i komunalne takse, troškovi članarina) i ostali nematerijalni troškovi. Imajući sve navedeno u vidu, </w:t>
      </w:r>
      <w:r w:rsidRPr="00835FC4">
        <w:rPr>
          <w:rFonts w:eastAsia="Calibri"/>
          <w:b/>
          <w:szCs w:val="22"/>
          <w:lang w:val="sr-Latn-CS" w:eastAsia="en-US"/>
        </w:rPr>
        <w:t>O</w:t>
      </w:r>
      <w:r w:rsidRPr="00835FC4">
        <w:rPr>
          <w:rFonts w:eastAsia="Calibri"/>
          <w:b/>
          <w:bCs/>
          <w:szCs w:val="22"/>
          <w:lang w:val="sr-Latn-CS" w:eastAsia="en-US"/>
        </w:rPr>
        <w:t xml:space="preserve">stali troškovi poslovanja </w:t>
      </w:r>
      <w:r w:rsidRPr="00835FC4">
        <w:rPr>
          <w:rFonts w:eastAsia="Calibri"/>
          <w:szCs w:val="22"/>
          <w:lang w:val="sr-Latn-CS" w:eastAsia="en-US"/>
        </w:rPr>
        <w:t xml:space="preserve">su za </w:t>
      </w:r>
      <w:r w:rsidRPr="00835FC4">
        <w:rPr>
          <w:rFonts w:eastAsia="Calibri"/>
          <w:b/>
          <w:szCs w:val="22"/>
          <w:lang w:val="sr-Latn-CS" w:eastAsia="en-US"/>
        </w:rPr>
        <w:t>28,64% veći</w:t>
      </w:r>
      <w:r w:rsidRPr="00835FC4">
        <w:rPr>
          <w:rFonts w:eastAsia="Calibri"/>
          <w:szCs w:val="22"/>
          <w:lang w:val="sr-Latn-CS" w:eastAsia="en-US"/>
        </w:rPr>
        <w:t xml:space="preserve"> nego u prethodnoj godini. </w:t>
      </w:r>
    </w:p>
    <w:p w14:paraId="427F1AC0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Troškove zarada, naknada zarada i ostale lične rashode</w:t>
      </w:r>
      <w:r w:rsidRPr="00835FC4">
        <w:rPr>
          <w:rFonts w:eastAsia="Calibri"/>
          <w:szCs w:val="22"/>
          <w:lang w:val="sr-Latn-CS" w:eastAsia="en-US"/>
        </w:rPr>
        <w:t xml:space="preserve"> čine troškovi neto zarade i naknade zarada, troškovi poreza i doprinosa na zarade i naknade, naknade članovima Odbora direktora i Revizorskog odbora, troškovi ugovora o djelu, kao ostali lični rashodi, i oni su </w:t>
      </w:r>
      <w:r w:rsidRPr="00835FC4">
        <w:rPr>
          <w:rFonts w:eastAsia="Calibri"/>
          <w:b/>
          <w:szCs w:val="22"/>
          <w:lang w:val="sr-Latn-CS" w:eastAsia="en-US"/>
        </w:rPr>
        <w:t>manji</w:t>
      </w:r>
      <w:r w:rsidRPr="00835FC4">
        <w:rPr>
          <w:rFonts w:eastAsia="Calibri"/>
          <w:szCs w:val="22"/>
          <w:lang w:val="sr-Latn-CS" w:eastAsia="en-US"/>
        </w:rPr>
        <w:t xml:space="preserve"> i to </w:t>
      </w:r>
      <w:r w:rsidRPr="00835FC4">
        <w:rPr>
          <w:rFonts w:eastAsia="Calibri"/>
          <w:b/>
          <w:szCs w:val="22"/>
          <w:lang w:val="sr-Latn-CS" w:eastAsia="en-US"/>
        </w:rPr>
        <w:t>za 1,62%</w:t>
      </w:r>
      <w:r w:rsidRPr="00835FC4">
        <w:rPr>
          <w:rFonts w:eastAsia="Calibri"/>
          <w:szCs w:val="22"/>
          <w:lang w:val="sr-Latn-CS" w:eastAsia="en-US"/>
        </w:rPr>
        <w:t xml:space="preserve">  u odnosu na prethodnu godinu.                                                                                                       </w:t>
      </w:r>
    </w:p>
    <w:p w14:paraId="21320873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szCs w:val="22"/>
          <w:lang w:val="sr-Latn-CS" w:eastAsia="en-US"/>
        </w:rPr>
        <w:t xml:space="preserve">Oduzimanjem rashoda poslovanja od prihoda iz poslovanja dobija se </w:t>
      </w:r>
      <w:r w:rsidRPr="00835FC4">
        <w:rPr>
          <w:rFonts w:eastAsia="Calibri"/>
          <w:b/>
          <w:szCs w:val="22"/>
          <w:lang w:val="sr-Latn-CS" w:eastAsia="en-US"/>
        </w:rPr>
        <w:t>poslovni rezultat</w:t>
      </w:r>
      <w:r w:rsidRPr="00835FC4">
        <w:rPr>
          <w:rFonts w:eastAsia="Calibri"/>
          <w:szCs w:val="22"/>
          <w:lang w:val="sr-Latn-CS" w:eastAsia="en-US"/>
        </w:rPr>
        <w:t xml:space="preserve"> koji na kraju ovog izvještajnog perioda, odnosno na kraju ove poslovne godine iznosi </w:t>
      </w:r>
      <w:r w:rsidRPr="00835FC4">
        <w:rPr>
          <w:rFonts w:eastAsia="Calibri"/>
          <w:b/>
          <w:szCs w:val="22"/>
          <w:lang w:val="sr-Latn-CS" w:eastAsia="en-US"/>
        </w:rPr>
        <w:t xml:space="preserve">457.058€ </w:t>
      </w:r>
      <w:r w:rsidRPr="00835FC4">
        <w:rPr>
          <w:rFonts w:eastAsia="Calibri"/>
          <w:szCs w:val="22"/>
          <w:lang w:val="sr-Latn-CS" w:eastAsia="en-US"/>
        </w:rPr>
        <w:t xml:space="preserve">što je za </w:t>
      </w:r>
      <w:r w:rsidRPr="00835FC4">
        <w:rPr>
          <w:rFonts w:eastAsia="Calibri"/>
          <w:b/>
          <w:szCs w:val="22"/>
          <w:lang w:val="sr-Latn-CS" w:eastAsia="en-US"/>
        </w:rPr>
        <w:t>27,40% više</w:t>
      </w:r>
      <w:r w:rsidRPr="00835FC4">
        <w:rPr>
          <w:rFonts w:eastAsia="Calibri"/>
          <w:szCs w:val="22"/>
          <w:lang w:val="sr-Latn-CS" w:eastAsia="en-US"/>
        </w:rPr>
        <w:t xml:space="preserve"> nego u prethodnom izvještajnom periodu, kada je na kraju te godine poslovni rezultat je iznosio 358.749 eura.</w:t>
      </w:r>
    </w:p>
    <w:p w14:paraId="177AEF4F" w14:textId="77777777" w:rsidR="00835FC4" w:rsidRPr="00835FC4" w:rsidRDefault="00835FC4" w:rsidP="00835FC4">
      <w:pPr>
        <w:spacing w:after="200" w:line="276" w:lineRule="auto"/>
        <w:rPr>
          <w:rFonts w:eastAsia="Calibri"/>
          <w:b/>
          <w:bCs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Finansijski rezultat</w:t>
      </w:r>
      <w:r w:rsidRPr="00835FC4">
        <w:rPr>
          <w:rFonts w:eastAsia="Calibri"/>
          <w:szCs w:val="22"/>
          <w:lang w:val="sr-Latn-CS" w:eastAsia="en-US"/>
        </w:rPr>
        <w:t xml:space="preserve"> nastao kao razlika izmedju finansijskih prihoda i finansijskih rashoda uvećana(ili umanjena) za vrijednosno usklađivanje kratkoročnih finansijskih sredstava i finansijskih ulaganja koji su dio obrtne imovine, pa u ovom izvještajnom periodu iznosi </w:t>
      </w:r>
      <w:r w:rsidRPr="00835FC4">
        <w:rPr>
          <w:rFonts w:eastAsia="Calibri"/>
          <w:b/>
          <w:szCs w:val="22"/>
          <w:lang w:val="sr-Latn-CS" w:eastAsia="en-US"/>
        </w:rPr>
        <w:t>-78.709€</w:t>
      </w:r>
      <w:r w:rsidRPr="00835FC4">
        <w:rPr>
          <w:rFonts w:eastAsia="Calibri"/>
          <w:szCs w:val="22"/>
          <w:lang w:val="sr-Latn-CS" w:eastAsia="en-US"/>
        </w:rPr>
        <w:t xml:space="preserve"> u odnosu na 2021. godinu kada je ova pozicija iznosila </w:t>
      </w:r>
      <w:r w:rsidRPr="00835FC4">
        <w:rPr>
          <w:rFonts w:eastAsia="Calibri"/>
          <w:b/>
          <w:bCs/>
          <w:szCs w:val="22"/>
          <w:lang w:val="sr-Latn-CS" w:eastAsia="en-US"/>
        </w:rPr>
        <w:t>-34.251 €.</w:t>
      </w:r>
    </w:p>
    <w:p w14:paraId="623B60C5" w14:textId="77777777" w:rsidR="00835FC4" w:rsidRPr="00835FC4" w:rsidRDefault="00835FC4" w:rsidP="00835FC4">
      <w:pPr>
        <w:spacing w:after="200" w:line="276" w:lineRule="auto"/>
        <w:rPr>
          <w:rFonts w:eastAsia="Calibri"/>
          <w:szCs w:val="22"/>
          <w:lang w:val="sr-Latn-CS" w:eastAsia="en-US"/>
        </w:rPr>
      </w:pPr>
      <w:r w:rsidRPr="00835FC4">
        <w:rPr>
          <w:rFonts w:eastAsia="Calibri"/>
          <w:szCs w:val="22"/>
          <w:lang w:val="sr-Latn-CS" w:eastAsia="en-US"/>
        </w:rPr>
        <w:t xml:space="preserve">Kao zbir poslovnog i finansijskog rezultata dobija se </w:t>
      </w:r>
      <w:r w:rsidRPr="00835FC4">
        <w:rPr>
          <w:rFonts w:eastAsia="Calibri"/>
          <w:b/>
          <w:szCs w:val="22"/>
          <w:lang w:val="sr-Latn-CS" w:eastAsia="en-US"/>
        </w:rPr>
        <w:t>rezultat iz redovnog poslovanja</w:t>
      </w:r>
      <w:r w:rsidRPr="00835FC4">
        <w:rPr>
          <w:rFonts w:eastAsia="Calibri"/>
          <w:szCs w:val="22"/>
          <w:lang w:val="sr-Latn-CS" w:eastAsia="en-US"/>
        </w:rPr>
        <w:t xml:space="preserve"> </w:t>
      </w:r>
      <w:r w:rsidRPr="00835FC4">
        <w:rPr>
          <w:rFonts w:eastAsia="Calibri"/>
          <w:b/>
          <w:szCs w:val="22"/>
          <w:lang w:val="sr-Latn-CS" w:eastAsia="en-US"/>
        </w:rPr>
        <w:t>prije oporezivanja</w:t>
      </w:r>
      <w:r w:rsidRPr="00835FC4">
        <w:rPr>
          <w:rFonts w:eastAsia="Calibri"/>
          <w:szCs w:val="22"/>
          <w:lang w:val="sr-Latn-CS" w:eastAsia="en-US"/>
        </w:rPr>
        <w:t xml:space="preserve"> koji na kraju izvještajnog perioda iznosi </w:t>
      </w:r>
      <w:r w:rsidRPr="00835FC4">
        <w:rPr>
          <w:rFonts w:eastAsia="Calibri"/>
          <w:b/>
          <w:szCs w:val="22"/>
          <w:lang w:val="sr-Latn-CS" w:eastAsia="en-US"/>
        </w:rPr>
        <w:t>378.349€</w:t>
      </w:r>
      <w:r w:rsidRPr="00835FC4">
        <w:rPr>
          <w:rFonts w:eastAsia="Calibri"/>
          <w:szCs w:val="22"/>
          <w:lang w:val="sr-Latn-CS" w:eastAsia="en-US"/>
        </w:rPr>
        <w:t xml:space="preserve"> tako da je </w:t>
      </w:r>
      <w:r w:rsidRPr="00835FC4">
        <w:rPr>
          <w:rFonts w:eastAsia="Calibri"/>
          <w:b/>
          <w:szCs w:val="22"/>
          <w:lang w:val="sr-Latn-CS" w:eastAsia="en-US"/>
        </w:rPr>
        <w:t>neto rezultat</w:t>
      </w:r>
      <w:r w:rsidRPr="00835FC4">
        <w:rPr>
          <w:rFonts w:eastAsia="Calibri"/>
          <w:szCs w:val="22"/>
          <w:lang w:val="sr-Latn-CS" w:eastAsia="en-US"/>
        </w:rPr>
        <w:t xml:space="preserve"> za </w:t>
      </w:r>
      <w:r w:rsidRPr="00835FC4">
        <w:rPr>
          <w:rFonts w:eastAsia="Calibri"/>
          <w:b/>
          <w:szCs w:val="22"/>
          <w:lang w:val="sr-Latn-CS" w:eastAsia="en-US"/>
        </w:rPr>
        <w:t>16,60% veći</w:t>
      </w:r>
      <w:r w:rsidRPr="00835FC4">
        <w:rPr>
          <w:rFonts w:eastAsia="Calibri"/>
          <w:szCs w:val="22"/>
          <w:lang w:val="sr-Latn-CS" w:eastAsia="en-US"/>
        </w:rPr>
        <w:t xml:space="preserve"> nego prethodne godine.</w:t>
      </w:r>
    </w:p>
    <w:p w14:paraId="1AFC52D0" w14:textId="77777777" w:rsidR="00835FC4" w:rsidRPr="00835FC4" w:rsidRDefault="00835FC4" w:rsidP="00835FC4">
      <w:pPr>
        <w:spacing w:after="200" w:line="276" w:lineRule="auto"/>
        <w:rPr>
          <w:rFonts w:eastAsia="Calibri"/>
          <w:b/>
          <w:szCs w:val="22"/>
          <w:lang w:val="sr-Latn-CS" w:eastAsia="en-US"/>
        </w:rPr>
      </w:pPr>
      <w:r w:rsidRPr="00835FC4">
        <w:rPr>
          <w:rFonts w:eastAsia="Calibri"/>
          <w:b/>
          <w:szCs w:val="22"/>
          <w:lang w:val="sr-Latn-CS" w:eastAsia="en-US"/>
        </w:rPr>
        <w:t>Tekući porez na dobit</w:t>
      </w:r>
      <w:r w:rsidRPr="00835FC4">
        <w:rPr>
          <w:rFonts w:eastAsia="Calibri"/>
          <w:szCs w:val="22"/>
          <w:lang w:val="sr-Latn-CS" w:eastAsia="en-US"/>
        </w:rPr>
        <w:t xml:space="preserve"> na kraju ove godine iznosi </w:t>
      </w:r>
      <w:r w:rsidRPr="00835FC4">
        <w:rPr>
          <w:rFonts w:eastAsia="Calibri"/>
          <w:b/>
          <w:szCs w:val="22"/>
          <w:lang w:val="sr-Latn-CS" w:eastAsia="en-US"/>
        </w:rPr>
        <w:t xml:space="preserve">40.538€, </w:t>
      </w:r>
      <w:r w:rsidRPr="00835FC4">
        <w:rPr>
          <w:rFonts w:eastAsia="Calibri"/>
          <w:szCs w:val="22"/>
          <w:lang w:val="sr-Latn-CS" w:eastAsia="en-US"/>
        </w:rPr>
        <w:t xml:space="preserve">što svodi </w:t>
      </w:r>
      <w:r w:rsidRPr="00835FC4">
        <w:rPr>
          <w:rFonts w:eastAsia="Calibri"/>
          <w:b/>
          <w:szCs w:val="22"/>
          <w:lang w:val="sr-Latn-CS" w:eastAsia="en-US"/>
        </w:rPr>
        <w:t xml:space="preserve"> krajnji neto rezultat na iznos od 337.811€.</w:t>
      </w:r>
    </w:p>
    <w:p w14:paraId="5D01C8F5" w14:textId="77777777" w:rsidR="007C13D8" w:rsidRPr="002F5EF6" w:rsidRDefault="007C13D8" w:rsidP="00862D4D">
      <w:pPr>
        <w:jc w:val="both"/>
        <w:rPr>
          <w:lang w:val="sr-Latn-CS"/>
        </w:rPr>
      </w:pPr>
    </w:p>
    <w:p w14:paraId="28873F37" w14:textId="77777777" w:rsidR="00A0167C" w:rsidRPr="002F5EF6" w:rsidRDefault="008A6751" w:rsidP="00A0167C">
      <w:pPr>
        <w:rPr>
          <w:b/>
          <w:lang w:val="sr-Latn-CS"/>
        </w:rPr>
      </w:pPr>
      <w:r w:rsidRPr="002F5EF6">
        <w:rPr>
          <w:b/>
          <w:lang w:val="sr-Latn-CS"/>
        </w:rPr>
        <w:t>Bar,</w:t>
      </w:r>
      <w:r w:rsidR="002D3FA8" w:rsidRPr="002F5EF6">
        <w:rPr>
          <w:b/>
          <w:lang w:val="sr-Latn-CS"/>
        </w:rPr>
        <w:t xml:space="preserve"> </w:t>
      </w:r>
      <w:r w:rsidR="000042C1">
        <w:rPr>
          <w:b/>
          <w:lang w:val="sr-Latn-CS"/>
        </w:rPr>
        <w:t>27</w:t>
      </w:r>
      <w:r w:rsidR="00E20B19" w:rsidRPr="002F5EF6">
        <w:rPr>
          <w:b/>
          <w:lang w:val="sr-Latn-CS"/>
        </w:rPr>
        <w:t>.</w:t>
      </w:r>
      <w:r w:rsidR="006B7A35" w:rsidRPr="002F5EF6">
        <w:rPr>
          <w:b/>
          <w:lang w:val="sr-Latn-CS"/>
        </w:rPr>
        <w:t>03</w:t>
      </w:r>
      <w:r w:rsidR="00FE7E1F">
        <w:rPr>
          <w:b/>
          <w:lang w:val="sr-Latn-CS"/>
        </w:rPr>
        <w:t>.2023</w:t>
      </w:r>
      <w:r w:rsidR="00862D4D" w:rsidRPr="002F5EF6">
        <w:rPr>
          <w:b/>
          <w:lang w:val="sr-Latn-CS"/>
        </w:rPr>
        <w:t>.god</w:t>
      </w:r>
      <w:r w:rsidR="00941CFA" w:rsidRPr="002F5EF6">
        <w:rPr>
          <w:b/>
          <w:lang w:val="sr-Latn-CS"/>
        </w:rPr>
        <w:t>.</w:t>
      </w:r>
      <w:r w:rsidR="00862D4D" w:rsidRPr="002F5EF6">
        <w:rPr>
          <w:b/>
          <w:lang w:val="sr-Latn-CS"/>
        </w:rPr>
        <w:t xml:space="preserve">                   </w:t>
      </w:r>
    </w:p>
    <w:p w14:paraId="6790DD25" w14:textId="77777777" w:rsidR="00A12B33" w:rsidRDefault="00A12B33" w:rsidP="00A0167C">
      <w:pPr>
        <w:rPr>
          <w:b/>
          <w:color w:val="FF0000"/>
          <w:lang w:val="sr-Latn-CS"/>
        </w:rPr>
      </w:pPr>
    </w:p>
    <w:p w14:paraId="3B80CF2D" w14:textId="77777777" w:rsidR="00A12B33" w:rsidRPr="00C964CB" w:rsidRDefault="00A12B33" w:rsidP="00A12B33">
      <w:pPr>
        <w:tabs>
          <w:tab w:val="left" w:pos="5577"/>
        </w:tabs>
        <w:rPr>
          <w:b/>
          <w:lang w:val="es-ES"/>
        </w:rPr>
      </w:pPr>
      <w:r>
        <w:rPr>
          <w:b/>
          <w:lang w:val="es-ES"/>
        </w:rPr>
        <w:t xml:space="preserve">                                                                                                                        </w:t>
      </w:r>
      <w:proofErr w:type="spellStart"/>
      <w:r w:rsidRPr="00C964CB">
        <w:rPr>
          <w:b/>
          <w:lang w:val="es-ES"/>
        </w:rPr>
        <w:t>Izvršni</w:t>
      </w:r>
      <w:proofErr w:type="spellEnd"/>
      <w:r w:rsidRPr="00C964CB">
        <w:rPr>
          <w:b/>
          <w:lang w:val="es-ES"/>
        </w:rPr>
        <w:t xml:space="preserve"> </w:t>
      </w:r>
      <w:proofErr w:type="spellStart"/>
      <w:r w:rsidRPr="00C964CB">
        <w:rPr>
          <w:b/>
          <w:lang w:val="es-ES"/>
        </w:rPr>
        <w:t>direktor</w:t>
      </w:r>
      <w:proofErr w:type="spellEnd"/>
    </w:p>
    <w:p w14:paraId="5798B90E" w14:textId="77777777" w:rsidR="00A12B33" w:rsidRPr="00C964CB" w:rsidRDefault="00A12B33" w:rsidP="00A12B33">
      <w:pPr>
        <w:rPr>
          <w:b/>
          <w:lang w:val="es-ES"/>
        </w:rPr>
      </w:pPr>
    </w:p>
    <w:p w14:paraId="19002169" w14:textId="77777777" w:rsidR="00A12B33" w:rsidRPr="00C964CB" w:rsidRDefault="00A12B33" w:rsidP="00A12B33">
      <w:pPr>
        <w:rPr>
          <w:b/>
          <w:lang w:val="en-US"/>
        </w:rPr>
      </w:pPr>
      <w:r w:rsidRPr="00C964CB">
        <w:rPr>
          <w:b/>
          <w:lang w:val="es-ES"/>
        </w:rPr>
        <w:t xml:space="preserve">                                                                                                                   </w:t>
      </w:r>
      <w:r w:rsidRPr="00C964CB">
        <w:rPr>
          <w:b/>
          <w:lang w:val="en-US"/>
        </w:rPr>
        <w:t>____________________</w:t>
      </w:r>
    </w:p>
    <w:p w14:paraId="350E6C06" w14:textId="77777777" w:rsidR="00A12B33" w:rsidRPr="000B2D68" w:rsidRDefault="00A12B33" w:rsidP="00087C99">
      <w:pPr>
        <w:rPr>
          <w:b/>
          <w:color w:val="FF0000"/>
          <w:lang w:val="sr-Latn-CS"/>
        </w:rPr>
      </w:pPr>
      <w:r w:rsidRPr="00C964CB">
        <w:rPr>
          <w:b/>
          <w:lang w:val="en-US"/>
        </w:rPr>
        <w:t xml:space="preserve">                                                                                                                      </w:t>
      </w:r>
      <w:r>
        <w:rPr>
          <w:b/>
          <w:lang w:val="en-US"/>
        </w:rPr>
        <w:t xml:space="preserve">   </w:t>
      </w:r>
      <w:proofErr w:type="spellStart"/>
      <w:r>
        <w:rPr>
          <w:b/>
          <w:lang w:val="en-US"/>
        </w:rPr>
        <w:t>Željko</w:t>
      </w:r>
      <w:proofErr w:type="spellEnd"/>
      <w:r>
        <w:rPr>
          <w:b/>
          <w:lang w:val="en-US"/>
        </w:rPr>
        <w:t xml:space="preserve"> Stojović</w:t>
      </w:r>
      <w:r w:rsidRPr="00C964CB">
        <w:rPr>
          <w:b/>
          <w:lang w:val="en-US"/>
        </w:rPr>
        <w:t xml:space="preserve"> </w:t>
      </w:r>
    </w:p>
    <w:sectPr w:rsidR="00A12B33" w:rsidRPr="000B2D68" w:rsidSect="00A9635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D1358" w14:textId="77777777" w:rsidR="0035462A" w:rsidRDefault="0035462A" w:rsidP="00541EE7">
      <w:r>
        <w:separator/>
      </w:r>
    </w:p>
  </w:endnote>
  <w:endnote w:type="continuationSeparator" w:id="0">
    <w:p w14:paraId="2911A573" w14:textId="77777777" w:rsidR="0035462A" w:rsidRDefault="0035462A" w:rsidP="0054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BDE3" w14:textId="77777777" w:rsidR="00835FC4" w:rsidRDefault="00307992" w:rsidP="00F0180A">
    <w:pPr>
      <w:pStyle w:val="Footer"/>
      <w:jc w:val="cen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F5606B" wp14:editId="4480AD81">
              <wp:simplePos x="0" y="0"/>
              <wp:positionH relativeFrom="page">
                <wp:posOffset>9525</wp:posOffset>
              </wp:positionH>
              <wp:positionV relativeFrom="page">
                <wp:posOffset>9511030</wp:posOffset>
              </wp:positionV>
              <wp:extent cx="7753350" cy="190500"/>
              <wp:effectExtent l="9525" t="5080" r="9525" b="4445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53350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48FC6" w14:textId="77777777" w:rsidR="00835FC4" w:rsidRDefault="00835FC4">
                            <w:pPr>
                              <w:jc w:val="center"/>
                            </w:pPr>
                            <w:r w:rsidRPr="00F0180A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F0180A">
                              <w:fldChar w:fldCharType="separate"/>
                            </w:r>
                            <w:r w:rsidR="00821C6B" w:rsidRPr="00821C6B">
                              <w:rPr>
                                <w:noProof/>
                                <w:color w:val="8C8C8C"/>
                              </w:rPr>
                              <w:t>9</w:t>
                            </w:r>
                            <w:r w:rsidRPr="00F0180A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F5606B" id="Group 33" o:spid="_x0000_s1027" style="position:absolute;left:0;text-align:left;margin-left:.75pt;margin-top:748.9pt;width:610.5pt;height:15pt;z-index:251657216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23748FC6" w14:textId="77777777" w:rsidR="00835FC4" w:rsidRDefault="00835FC4">
                      <w:pPr>
                        <w:jc w:val="center"/>
                      </w:pPr>
                      <w:r w:rsidRPr="00F0180A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F0180A">
                        <w:fldChar w:fldCharType="separate"/>
                      </w:r>
                      <w:r w:rsidR="00821C6B" w:rsidRPr="00821C6B">
                        <w:rPr>
                          <w:noProof/>
                          <w:color w:val="8C8C8C"/>
                        </w:rPr>
                        <w:t>9</w:t>
                      </w:r>
                      <w:r w:rsidRPr="00F0180A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178D1664" wp14:editId="1AA0BCB8">
          <wp:extent cx="609600" cy="3429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1DAA" w14:textId="77777777" w:rsidR="0035462A" w:rsidRDefault="0035462A" w:rsidP="00541EE7">
      <w:r>
        <w:separator/>
      </w:r>
    </w:p>
  </w:footnote>
  <w:footnote w:type="continuationSeparator" w:id="0">
    <w:p w14:paraId="4C1BE963" w14:textId="77777777" w:rsidR="0035462A" w:rsidRDefault="0035462A" w:rsidP="00541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A7F15"/>
    <w:multiLevelType w:val="hybridMultilevel"/>
    <w:tmpl w:val="65C6E646"/>
    <w:lvl w:ilvl="0" w:tplc="7BA83EBE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ED06727"/>
    <w:multiLevelType w:val="hybridMultilevel"/>
    <w:tmpl w:val="E8825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34CC6"/>
    <w:multiLevelType w:val="hybridMultilevel"/>
    <w:tmpl w:val="8D56C77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872615">
    <w:abstractNumId w:val="0"/>
  </w:num>
  <w:num w:numId="2" w16cid:durableId="1486437650">
    <w:abstractNumId w:val="1"/>
  </w:num>
  <w:num w:numId="3" w16cid:durableId="1229612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580"/>
    <w:rsid w:val="000042C1"/>
    <w:rsid w:val="00022B8A"/>
    <w:rsid w:val="00031605"/>
    <w:rsid w:val="0007212C"/>
    <w:rsid w:val="00072141"/>
    <w:rsid w:val="00084525"/>
    <w:rsid w:val="00086E2A"/>
    <w:rsid w:val="00087C99"/>
    <w:rsid w:val="00091794"/>
    <w:rsid w:val="000A2F6D"/>
    <w:rsid w:val="000A5090"/>
    <w:rsid w:val="000B2D68"/>
    <w:rsid w:val="000C5954"/>
    <w:rsid w:val="000D5D28"/>
    <w:rsid w:val="000E2A3F"/>
    <w:rsid w:val="000F13E6"/>
    <w:rsid w:val="00106AAB"/>
    <w:rsid w:val="0011195B"/>
    <w:rsid w:val="00154BB0"/>
    <w:rsid w:val="00170E80"/>
    <w:rsid w:val="001763D7"/>
    <w:rsid w:val="00186FC8"/>
    <w:rsid w:val="00187D16"/>
    <w:rsid w:val="001970D9"/>
    <w:rsid w:val="001A17F0"/>
    <w:rsid w:val="001A2AFB"/>
    <w:rsid w:val="001B38C5"/>
    <w:rsid w:val="001B4807"/>
    <w:rsid w:val="001C23B7"/>
    <w:rsid w:val="001E12C0"/>
    <w:rsid w:val="002131CD"/>
    <w:rsid w:val="002674D1"/>
    <w:rsid w:val="00277902"/>
    <w:rsid w:val="00283707"/>
    <w:rsid w:val="00293B86"/>
    <w:rsid w:val="00297E79"/>
    <w:rsid w:val="002A1FCA"/>
    <w:rsid w:val="002B7783"/>
    <w:rsid w:val="002C3580"/>
    <w:rsid w:val="002D2E63"/>
    <w:rsid w:val="002D3FA8"/>
    <w:rsid w:val="002D7E41"/>
    <w:rsid w:val="002E4C9F"/>
    <w:rsid w:val="002F5EF6"/>
    <w:rsid w:val="00303CA0"/>
    <w:rsid w:val="00307992"/>
    <w:rsid w:val="003325E9"/>
    <w:rsid w:val="0035462A"/>
    <w:rsid w:val="00361598"/>
    <w:rsid w:val="0036660A"/>
    <w:rsid w:val="003862BE"/>
    <w:rsid w:val="00390022"/>
    <w:rsid w:val="00395C4C"/>
    <w:rsid w:val="003979E7"/>
    <w:rsid w:val="003A2861"/>
    <w:rsid w:val="003A335D"/>
    <w:rsid w:val="003B4E77"/>
    <w:rsid w:val="003E694A"/>
    <w:rsid w:val="003F6612"/>
    <w:rsid w:val="00402D97"/>
    <w:rsid w:val="00403F64"/>
    <w:rsid w:val="00407D9B"/>
    <w:rsid w:val="0042182E"/>
    <w:rsid w:val="004416C5"/>
    <w:rsid w:val="00445E1D"/>
    <w:rsid w:val="00454B96"/>
    <w:rsid w:val="0045732B"/>
    <w:rsid w:val="00465D45"/>
    <w:rsid w:val="00481776"/>
    <w:rsid w:val="004831D4"/>
    <w:rsid w:val="004837EF"/>
    <w:rsid w:val="00486634"/>
    <w:rsid w:val="00496102"/>
    <w:rsid w:val="004B3339"/>
    <w:rsid w:val="004C4EAD"/>
    <w:rsid w:val="004E2C55"/>
    <w:rsid w:val="004F2DBB"/>
    <w:rsid w:val="00532FF7"/>
    <w:rsid w:val="00541EE7"/>
    <w:rsid w:val="00546B33"/>
    <w:rsid w:val="0055261B"/>
    <w:rsid w:val="0055394B"/>
    <w:rsid w:val="005551D8"/>
    <w:rsid w:val="00572511"/>
    <w:rsid w:val="00583822"/>
    <w:rsid w:val="005A398F"/>
    <w:rsid w:val="005A3DF7"/>
    <w:rsid w:val="005A5308"/>
    <w:rsid w:val="005A6D5D"/>
    <w:rsid w:val="005B58C1"/>
    <w:rsid w:val="005D236F"/>
    <w:rsid w:val="005D4DA4"/>
    <w:rsid w:val="005E1FE3"/>
    <w:rsid w:val="005E6642"/>
    <w:rsid w:val="005E6722"/>
    <w:rsid w:val="005F6D4F"/>
    <w:rsid w:val="0060675F"/>
    <w:rsid w:val="00607C61"/>
    <w:rsid w:val="0061235E"/>
    <w:rsid w:val="00612B87"/>
    <w:rsid w:val="006206A4"/>
    <w:rsid w:val="00620721"/>
    <w:rsid w:val="00624CDD"/>
    <w:rsid w:val="00625983"/>
    <w:rsid w:val="00633077"/>
    <w:rsid w:val="00665734"/>
    <w:rsid w:val="00671AFC"/>
    <w:rsid w:val="00681EFC"/>
    <w:rsid w:val="0068537E"/>
    <w:rsid w:val="0068586A"/>
    <w:rsid w:val="00690D91"/>
    <w:rsid w:val="00693863"/>
    <w:rsid w:val="00695820"/>
    <w:rsid w:val="006A3EF3"/>
    <w:rsid w:val="006A45EE"/>
    <w:rsid w:val="006A60EE"/>
    <w:rsid w:val="006B2296"/>
    <w:rsid w:val="006B7A35"/>
    <w:rsid w:val="006D3C2C"/>
    <w:rsid w:val="006E1044"/>
    <w:rsid w:val="006E61F6"/>
    <w:rsid w:val="006E7B02"/>
    <w:rsid w:val="006F5E78"/>
    <w:rsid w:val="00707B2B"/>
    <w:rsid w:val="00732CC7"/>
    <w:rsid w:val="0073628E"/>
    <w:rsid w:val="0074304F"/>
    <w:rsid w:val="007A4BAD"/>
    <w:rsid w:val="007A4D92"/>
    <w:rsid w:val="007B01ED"/>
    <w:rsid w:val="007B7FBD"/>
    <w:rsid w:val="007C13D8"/>
    <w:rsid w:val="007C7086"/>
    <w:rsid w:val="007D1DAD"/>
    <w:rsid w:val="007E5219"/>
    <w:rsid w:val="007F59BC"/>
    <w:rsid w:val="00800E3C"/>
    <w:rsid w:val="00804B6F"/>
    <w:rsid w:val="00820169"/>
    <w:rsid w:val="00821514"/>
    <w:rsid w:val="00821C6B"/>
    <w:rsid w:val="00823C82"/>
    <w:rsid w:val="008261F6"/>
    <w:rsid w:val="00835FC4"/>
    <w:rsid w:val="00862D4D"/>
    <w:rsid w:val="008642DC"/>
    <w:rsid w:val="00870794"/>
    <w:rsid w:val="008716A8"/>
    <w:rsid w:val="00890D1C"/>
    <w:rsid w:val="0089426A"/>
    <w:rsid w:val="008A4B83"/>
    <w:rsid w:val="008A5701"/>
    <w:rsid w:val="008A6751"/>
    <w:rsid w:val="008B55A7"/>
    <w:rsid w:val="008C73B7"/>
    <w:rsid w:val="008D702C"/>
    <w:rsid w:val="00903B9F"/>
    <w:rsid w:val="009167D6"/>
    <w:rsid w:val="00921087"/>
    <w:rsid w:val="00940232"/>
    <w:rsid w:val="00941CFA"/>
    <w:rsid w:val="009511ED"/>
    <w:rsid w:val="009620B1"/>
    <w:rsid w:val="00964CFA"/>
    <w:rsid w:val="00980416"/>
    <w:rsid w:val="00981149"/>
    <w:rsid w:val="009851BE"/>
    <w:rsid w:val="00985BBD"/>
    <w:rsid w:val="009911C4"/>
    <w:rsid w:val="009C224F"/>
    <w:rsid w:val="009D0A9A"/>
    <w:rsid w:val="009D5A37"/>
    <w:rsid w:val="009D5FA2"/>
    <w:rsid w:val="009E6A6D"/>
    <w:rsid w:val="009F004B"/>
    <w:rsid w:val="00A0167C"/>
    <w:rsid w:val="00A12B33"/>
    <w:rsid w:val="00A17E45"/>
    <w:rsid w:val="00A5353C"/>
    <w:rsid w:val="00A54C8C"/>
    <w:rsid w:val="00A600B0"/>
    <w:rsid w:val="00A717A3"/>
    <w:rsid w:val="00A834BB"/>
    <w:rsid w:val="00A96194"/>
    <w:rsid w:val="00A9635D"/>
    <w:rsid w:val="00AA66A2"/>
    <w:rsid w:val="00AB341C"/>
    <w:rsid w:val="00AC4F68"/>
    <w:rsid w:val="00AC5419"/>
    <w:rsid w:val="00AD61ED"/>
    <w:rsid w:val="00AE0F32"/>
    <w:rsid w:val="00B04575"/>
    <w:rsid w:val="00B0662F"/>
    <w:rsid w:val="00B14ED5"/>
    <w:rsid w:val="00B3207E"/>
    <w:rsid w:val="00B33E63"/>
    <w:rsid w:val="00B4304C"/>
    <w:rsid w:val="00B52E0C"/>
    <w:rsid w:val="00B53427"/>
    <w:rsid w:val="00B6121D"/>
    <w:rsid w:val="00B735C7"/>
    <w:rsid w:val="00B824D2"/>
    <w:rsid w:val="00B93403"/>
    <w:rsid w:val="00B9346F"/>
    <w:rsid w:val="00B936BC"/>
    <w:rsid w:val="00B93D3A"/>
    <w:rsid w:val="00BB2124"/>
    <w:rsid w:val="00BB6EE7"/>
    <w:rsid w:val="00BD575B"/>
    <w:rsid w:val="00BF345B"/>
    <w:rsid w:val="00C1413F"/>
    <w:rsid w:val="00C21A1A"/>
    <w:rsid w:val="00C268CC"/>
    <w:rsid w:val="00C609D4"/>
    <w:rsid w:val="00C674EC"/>
    <w:rsid w:val="00C71D37"/>
    <w:rsid w:val="00C73C4C"/>
    <w:rsid w:val="00C73D1F"/>
    <w:rsid w:val="00C95D68"/>
    <w:rsid w:val="00CA10DF"/>
    <w:rsid w:val="00CA2C71"/>
    <w:rsid w:val="00CB3078"/>
    <w:rsid w:val="00CC42EB"/>
    <w:rsid w:val="00CE1035"/>
    <w:rsid w:val="00CF0B8A"/>
    <w:rsid w:val="00CF3591"/>
    <w:rsid w:val="00D32083"/>
    <w:rsid w:val="00D34B8B"/>
    <w:rsid w:val="00D358B4"/>
    <w:rsid w:val="00D5663C"/>
    <w:rsid w:val="00D829A3"/>
    <w:rsid w:val="00DC65F6"/>
    <w:rsid w:val="00DD17A1"/>
    <w:rsid w:val="00DD1EFA"/>
    <w:rsid w:val="00DD50F2"/>
    <w:rsid w:val="00DE1701"/>
    <w:rsid w:val="00DF6F53"/>
    <w:rsid w:val="00E144DA"/>
    <w:rsid w:val="00E20B19"/>
    <w:rsid w:val="00E235B8"/>
    <w:rsid w:val="00E31ED5"/>
    <w:rsid w:val="00E36681"/>
    <w:rsid w:val="00E44F3D"/>
    <w:rsid w:val="00E6095C"/>
    <w:rsid w:val="00E63C22"/>
    <w:rsid w:val="00E678CA"/>
    <w:rsid w:val="00E73A38"/>
    <w:rsid w:val="00E74C5E"/>
    <w:rsid w:val="00E77C32"/>
    <w:rsid w:val="00E836B7"/>
    <w:rsid w:val="00E8507B"/>
    <w:rsid w:val="00E93F6C"/>
    <w:rsid w:val="00E972BC"/>
    <w:rsid w:val="00EA3F8F"/>
    <w:rsid w:val="00EA550B"/>
    <w:rsid w:val="00EA651D"/>
    <w:rsid w:val="00EB07D4"/>
    <w:rsid w:val="00EB78A4"/>
    <w:rsid w:val="00EC45DB"/>
    <w:rsid w:val="00ED41E1"/>
    <w:rsid w:val="00ED7A02"/>
    <w:rsid w:val="00EE2590"/>
    <w:rsid w:val="00EE42E3"/>
    <w:rsid w:val="00EF1B27"/>
    <w:rsid w:val="00F0180A"/>
    <w:rsid w:val="00F02AAF"/>
    <w:rsid w:val="00F02AC2"/>
    <w:rsid w:val="00F133B2"/>
    <w:rsid w:val="00F1540B"/>
    <w:rsid w:val="00F22568"/>
    <w:rsid w:val="00F43708"/>
    <w:rsid w:val="00F51155"/>
    <w:rsid w:val="00F72587"/>
    <w:rsid w:val="00F74EE6"/>
    <w:rsid w:val="00F833C5"/>
    <w:rsid w:val="00FB52C4"/>
    <w:rsid w:val="00FC1674"/>
    <w:rsid w:val="00FC633E"/>
    <w:rsid w:val="00FD145D"/>
    <w:rsid w:val="00FD6B4C"/>
    <w:rsid w:val="00FE7E1F"/>
    <w:rsid w:val="00F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22719"/>
  <w15:docId w15:val="{35260B38-A53B-469A-8FC5-524D8C04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ME" w:eastAsia="sr-Latn-M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580"/>
    <w:rPr>
      <w:rFonts w:ascii="Times New Roman" w:eastAsia="Times New Roman" w:hAnsi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1F6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1EE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41EE7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41E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41EE7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992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46B33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A8D77-ADAC-47FC-BC76-FF728A776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 Coric</dc:creator>
  <cp:lastModifiedBy>Sanja</cp:lastModifiedBy>
  <cp:revision>7</cp:revision>
  <cp:lastPrinted>2023-03-28T08:37:00Z</cp:lastPrinted>
  <dcterms:created xsi:type="dcterms:W3CDTF">2023-03-28T09:51:00Z</dcterms:created>
  <dcterms:modified xsi:type="dcterms:W3CDTF">2023-03-28T11:27:00Z</dcterms:modified>
</cp:coreProperties>
</file>